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rFonts w:ascii="Exo 2" w:cs="Exo 2" w:eastAsia="Exo 2" w:hAnsi="Exo 2"/>
          <w:b/>
          <w:bCs/>
          <w:color w:val="A04000"/>
          <w:sz w:val="22"/>
          <w:szCs w:val="22"/>
        </w:rPr>
        <w:t xml:space="preserve">TEMPLATE</w:t>
      </w:r>
    </w:p>
    <w:p>
      <w:pPr>
        <w:spacing w:after="100"/>
      </w:pPr>
      <w:r>
        <w:rPr>
          <w:rFonts w:ascii="Exo 2" w:cs="Exo 2" w:eastAsia="Exo 2" w:hAnsi="Exo 2"/>
          <w:b/>
          <w:bCs/>
          <w:color w:val="2C3E50"/>
          <w:sz w:val="46"/>
          <w:szCs w:val="46"/>
        </w:rPr>
        <w:t xml:space="preserve">Use of Artificial Intelligence (AI) Policy</w:t>
      </w:r>
    </w:p>
    <w:p>
      <w:pPr>
        <w:spacing w:after="200" w:line="272"/>
      </w:pPr>
      <w:r>
        <w:rPr>
          <w:rFonts w:ascii="Poppins" w:cs="Poppins" w:eastAsia="Poppins" w:hAnsi="Poppins"/>
          <w:i/>
          <w:iCs/>
          <w:color w:val="1A1A1A"/>
          <w:sz w:val="21"/>
          <w:szCs w:val="21"/>
        </w:rPr>
        <w:t xml:space="preserve">A completable template for schools, trusts and colleges, with a staff-use spine and optional modules for pupil use and governed tool exceptions.</w:t>
      </w:r>
    </w:p>
    <w:p>
      <w:pPr>
        <w:spacing w:after="150" w:line="272"/>
      </w:pPr>
      <w:r>
        <w:rPr>
          <w:rFonts w:ascii="Poppins" w:cs="Poppins" w:eastAsia="Poppins" w:hAnsi="Poppins"/>
          <w:b/>
          <w:bCs/>
          <w:color w:val="1A1A1A"/>
          <w:sz w:val="21"/>
          <w:szCs w:val="21"/>
        </w:rPr>
        <w:t xml:space="preserve">Guidance note. </w:t>
      </w:r>
      <w:r>
        <w:rPr>
          <w:rFonts w:ascii="Poppins" w:cs="Poppins" w:eastAsia="Poppins" w:hAnsi="Poppins"/>
          <w:color w:val="1A1A1A"/>
          <w:sz w:val="21"/>
          <w:szCs w:val="21"/>
        </w:rPr>
        <w:t xml:space="preserve">This template supports leaders in creating their own AI policy. It cannot be used as it stands; it requires completion for your context, alignment with your existing policies, agreement by the right stakeholders and formal ratification. It is written for adoption from September 2026 against the law and guidance listed in section 1, and does not constitute legal advice. A multi-academy trust should adopt it once, centrally, with school-level detail held in local appendices rather than separate versions.</w:t>
      </w:r>
    </w:p>
    <w:p>
      <w:pPr>
        <w:spacing w:after="150" w:line="272"/>
      </w:pPr>
      <w:r>
        <w:rPr>
          <w:rFonts w:ascii="Poppins" w:cs="Poppins" w:eastAsia="Poppins" w:hAnsi="Poppins"/>
          <w:b/>
          <w:bCs/>
          <w:color w:val="1A1A1A"/>
          <w:sz w:val="21"/>
          <w:szCs w:val="21"/>
        </w:rPr>
        <w:t xml:space="preserve">How placeholders work. </w:t>
      </w:r>
      <w:r>
        <w:rPr>
          <w:rFonts w:ascii="Poppins" w:cs="Poppins" w:eastAsia="Poppins" w:hAnsi="Poppins"/>
          <w:color w:val="1A1A1A"/>
          <w:sz w:val="21"/>
          <w:szCs w:val="21"/>
        </w:rPr>
        <w:t xml:space="preserve">Text in </w:t>
      </w:r>
      <w:r>
        <w:rPr>
          <w:rFonts w:ascii="Poppins" w:cs="Poppins" w:eastAsia="Poppins" w:hAnsi="Poppins"/>
          <w:b/>
          <w:bCs/>
          <w:color w:val="A04000"/>
          <w:sz w:val="21"/>
          <w:szCs w:val="21"/>
        </w:rPr>
        <w:t xml:space="preserve">[BOLD AMBER BRACKETS]</w:t>
      </w:r>
      <w:r>
        <w:rPr>
          <w:rFonts w:ascii="Poppins" w:cs="Poppins" w:eastAsia="Poppins" w:hAnsi="Poppins"/>
          <w:color w:val="1A1A1A"/>
          <w:sz w:val="21"/>
          <w:szCs w:val="21"/>
        </w:rPr>
        <w:t xml:space="preserve"> marks something you must complete or decide. Boxes headed HOW TO COMPLETE THIS SECTION explain what to insert; boxes headed OPTIONAL MODULE mark sections to switch on or delete. Delete every guidance and optional-flag box, and this page, before publishing.</w:t>
      </w:r>
    </w:p>
    <w:p>
      <w:pPr>
        <w:spacing w:after="200" w:line="272"/>
      </w:pPr>
      <w:r>
        <w:rPr>
          <w:rFonts w:ascii="Poppins" w:cs="Poppins" w:eastAsia="Poppins" w:hAnsi="Poppins"/>
          <w:b/>
          <w:bCs/>
          <w:color w:val="1A1A1A"/>
          <w:sz w:val="21"/>
          <w:szCs w:val="21"/>
        </w:rPr>
        <w:t xml:space="preserve">Licence and attribution. </w:t>
      </w:r>
      <w:r>
        <w:rPr>
          <w:rFonts w:ascii="Poppins" w:cs="Poppins" w:eastAsia="Poppins" w:hAnsi="Poppins"/>
          <w:color w:val="1A1A1A"/>
          <w:sz w:val="21"/>
          <w:szCs w:val="21"/>
        </w:rPr>
        <w:t xml:space="preserve">Shared under a Creative Commons Attribution-NonCommercial-ShareAlike 4.0 International licence (CC BY-NC-SA 4.0): adapt for non-commercial purposes, credit Mark Anderson, ICT Evangelist (ictevangelist.com), and license adapted versions you share under the same terms. Full licence: creativecommons.org/licenses/by-nc-sa/4.0.</w:t>
      </w:r>
    </w:p>
    <w:p>
      <w:pPr>
        <w:spacing w:after="120" w:line="272"/>
      </w:pPr>
      <w:r>
        <w:rPr>
          <w:rFonts w:ascii="Poppins" w:cs="Poppins" w:eastAsia="Poppins" w:hAnsi="Poppins"/>
          <w:b/>
          <w:bCs/>
          <w:color w:val="1A1A1A"/>
          <w:sz w:val="21"/>
          <w:szCs w:val="21"/>
        </w:rPr>
        <w:t xml:space="preserve">Your map. </w:t>
      </w:r>
      <w:r>
        <w:rPr>
          <w:rFonts w:ascii="Poppins" w:cs="Poppins" w:eastAsia="Poppins" w:hAnsi="Poppins"/>
          <w:color w:val="1A1A1A"/>
          <w:sz w:val="21"/>
          <w:szCs w:val="21"/>
        </w:rPr>
        <w:t xml:space="preserve">Work through the template in order; each step corresponds to a section below.</w:t>
      </w:r>
    </w:p>
    <w:tbl>
      <w:tblPr>
        <w:tblW w:type="dxa" w:w="9520"/>
        <w:tblBorders>
          <w:top w:val="single" w:color="BDC3C7" w:sz="4"/>
          <w:left w:val="single" w:color="BDC3C7" w:sz="4"/>
          <w:bottom w:val="single" w:color="BDC3C7" w:sz="4"/>
          <w:right w:val="single" w:color="BDC3C7" w:sz="4"/>
          <w:insideH w:val="single" w:color="BDC3C7" w:sz="4"/>
          <w:insideV w:val="single" w:color="BDC3C7" w:sz="4"/>
        </w:tblBorders>
      </w:tblPr>
      <w:tblGrid>
        <w:gridCol w:w="1000"/>
        <w:gridCol w:w="3400"/>
        <w:gridCol w:w="5120"/>
      </w:tblGrid>
      <w:tr>
        <w:trPr>
          <w:tblHeader/>
        </w:trPr>
        <w:tc>
          <w:tcPr>
            <w:tcW w:type="dxa" w:w="1000"/>
            <w:shd w:fill="2C3E50" w:val="clear"/>
            <w:tcMar>
              <w:top w:type="dxa" w:w="85"/>
              <w:left w:type="dxa" w:w="125"/>
              <w:bottom w:type="dxa" w:w="85"/>
              <w:right w:type="dxa" w:w="125"/>
            </w:tcMar>
          </w:tcPr>
          <w:p>
            <w:pPr>
              <w:spacing w:after="0" w:line="250"/>
            </w:pPr>
            <w:r>
              <w:rPr>
                <w:rFonts w:ascii="Poppins" w:cs="Poppins" w:eastAsia="Poppins" w:hAnsi="Poppins"/>
                <w:b/>
                <w:bCs/>
                <w:color w:val="FFFFFF"/>
                <w:sz w:val="19"/>
                <w:szCs w:val="19"/>
              </w:rPr>
              <w:t xml:space="preserve">Step</w:t>
            </w:r>
          </w:p>
        </w:tc>
        <w:tc>
          <w:tcPr>
            <w:tcW w:type="dxa" w:w="3400"/>
            <w:shd w:fill="2C3E50" w:val="clear"/>
            <w:tcMar>
              <w:top w:type="dxa" w:w="85"/>
              <w:left w:type="dxa" w:w="125"/>
              <w:bottom w:type="dxa" w:w="85"/>
              <w:right w:type="dxa" w:w="125"/>
            </w:tcMar>
          </w:tcPr>
          <w:p>
            <w:pPr>
              <w:spacing w:after="0" w:line="250"/>
            </w:pPr>
            <w:r>
              <w:rPr>
                <w:rFonts w:ascii="Poppins" w:cs="Poppins" w:eastAsia="Poppins" w:hAnsi="Poppins"/>
                <w:b/>
                <w:bCs/>
                <w:color w:val="FFFFFF"/>
                <w:sz w:val="19"/>
                <w:szCs w:val="19"/>
              </w:rPr>
              <w:t xml:space="preserve">Section</w:t>
            </w:r>
          </w:p>
        </w:tc>
        <w:tc>
          <w:tcPr>
            <w:tcW w:type="dxa" w:w="5120"/>
            <w:shd w:fill="2C3E50" w:val="clear"/>
            <w:tcMar>
              <w:top w:type="dxa" w:w="85"/>
              <w:left w:type="dxa" w:w="125"/>
              <w:bottom w:type="dxa" w:w="85"/>
              <w:right w:type="dxa" w:w="125"/>
            </w:tcMar>
          </w:tcPr>
          <w:p>
            <w:pPr>
              <w:spacing w:after="0" w:line="250"/>
            </w:pPr>
            <w:r>
              <w:rPr>
                <w:rFonts w:ascii="Poppins" w:cs="Poppins" w:eastAsia="Poppins" w:hAnsi="Poppins"/>
                <w:b/>
                <w:bCs/>
                <w:color w:val="FFFFFF"/>
                <w:sz w:val="19"/>
                <w:szCs w:val="19"/>
              </w:rPr>
              <w:t xml:space="preserve">What you decide</w:t>
            </w:r>
          </w:p>
        </w:tc>
      </w:tr>
      <w:tr>
        <w:tc>
          <w:tcPr>
            <w:tcW w:type="dxa" w:w="10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1</w:t>
            </w:r>
          </w:p>
        </w:tc>
        <w:tc>
          <w:tcPr>
            <w:tcW w:type="dxa" w:w="34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Policy statement</w:t>
            </w:r>
          </w:p>
        </w:tc>
        <w:tc>
          <w:tcPr>
            <w:tcW w:type="dxa" w:w="51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Your organisation name, the frameworks that bind you, the audiences in scope and your review cycle.</w:t>
            </w:r>
          </w:p>
        </w:tc>
      </w:tr>
      <w:tr>
        <w:tc>
          <w:tcPr>
            <w:tcW w:type="dxa" w:w="10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2</w:t>
            </w:r>
          </w:p>
        </w:tc>
        <w:tc>
          <w:tcPr>
            <w:tcW w:type="dxa" w:w="34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Who and what this policy covers</w:t>
            </w:r>
          </w:p>
        </w:tc>
        <w:tc>
          <w:tcPr>
            <w:tcW w:type="dxa" w:w="51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What counts as AI here, any excluded platform features, and whether pupil use is in scope.</w:t>
            </w:r>
          </w:p>
        </w:tc>
      </w:tr>
      <w:tr>
        <w:tc>
          <w:tcPr>
            <w:tcW w:type="dxa" w:w="10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3</w:t>
            </w:r>
          </w:p>
        </w:tc>
        <w:tc>
          <w:tcPr>
            <w:tcW w:type="dxa" w:w="34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Roles, responsibilities and oversight</w:t>
            </w:r>
          </w:p>
        </w:tc>
        <w:tc>
          <w:tcPr>
            <w:tcW w:type="dxa" w:w="51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Who owns each responsibility; cut the menu to the roles you actually have.</w:t>
            </w:r>
          </w:p>
        </w:tc>
      </w:tr>
      <w:tr>
        <w:tc>
          <w:tcPr>
            <w:tcW w:type="dxa" w:w="10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4</w:t>
            </w:r>
          </w:p>
        </w:tc>
        <w:tc>
          <w:tcPr>
            <w:tcW w:type="dxa" w:w="34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Approved AI tools and the approval gate</w:t>
            </w:r>
          </w:p>
        </w:tc>
        <w:tc>
          <w:tcPr>
            <w:tcW w:type="dxa" w:w="51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Which tools you approve and for what. The compliance backbone; do not delete it.</w:t>
            </w:r>
          </w:p>
        </w:tc>
      </w:tr>
      <w:tr>
        <w:tc>
          <w:tcPr>
            <w:tcW w:type="dxa" w:w="10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4a</w:t>
            </w:r>
          </w:p>
        </w:tc>
        <w:tc>
          <w:tcPr>
            <w:tcW w:type="dxa" w:w="34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Governed exceptions (optional)</w:t>
            </w:r>
          </w:p>
        </w:tc>
        <w:tc>
          <w:tcPr>
            <w:tcW w:type="dxa" w:w="51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Only if you permit named tools for single, tightly-scoped purposes.</w:t>
            </w:r>
          </w:p>
        </w:tc>
      </w:tr>
      <w:tr>
        <w:tc>
          <w:tcPr>
            <w:tcW w:type="dxa" w:w="10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5 and 6</w:t>
            </w:r>
          </w:p>
        </w:tc>
        <w:tc>
          <w:tcPr>
            <w:tcW w:type="dxa" w:w="34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What staff may and may not do</w:t>
            </w:r>
          </w:p>
        </w:tc>
        <w:tc>
          <w:tcPr>
            <w:tcW w:type="dxa" w:w="51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Tailor the examples; keep the data-input rule and high-risk prohibitions intact.</w:t>
            </w:r>
          </w:p>
        </w:tc>
      </w:tr>
      <w:tr>
        <w:tc>
          <w:tcPr>
            <w:tcW w:type="dxa" w:w="10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7 and 8</w:t>
            </w:r>
          </w:p>
        </w:tc>
        <w:tc>
          <w:tcPr>
            <w:tcW w:type="dxa" w:w="34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Data protection; accuracy and oversight</w:t>
            </w:r>
          </w:p>
        </w:tc>
        <w:tc>
          <w:tcPr>
            <w:tcW w:type="dxa" w:w="51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Your data protection lead, retention and breach routes; human oversight is fixed.</w:t>
            </w:r>
          </w:p>
        </w:tc>
      </w:tr>
      <w:tr>
        <w:tc>
          <w:tcPr>
            <w:tcW w:type="dxa" w:w="10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9 and 10</w:t>
            </w:r>
          </w:p>
        </w:tc>
        <w:tc>
          <w:tcPr>
            <w:tcW w:type="dxa" w:w="34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Safeguarding; impact assessment</w:t>
            </w:r>
          </w:p>
        </w:tc>
        <w:tc>
          <w:tcPr>
            <w:tcW w:type="dxa" w:w="51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Your safeguarding reporting route, parental communication route and DPIA trigger.</w:t>
            </w:r>
          </w:p>
        </w:tc>
      </w:tr>
      <w:tr>
        <w:tc>
          <w:tcPr>
            <w:tcW w:type="dxa" w:w="10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11 and 12</w:t>
            </w:r>
          </w:p>
        </w:tc>
        <w:tc>
          <w:tcPr>
            <w:tcW w:type="dxa" w:w="34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Training; filtering and monitoring</w:t>
            </w:r>
          </w:p>
        </w:tc>
        <w:tc>
          <w:tcPr>
            <w:tcW w:type="dxa" w:w="51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The training people complete; your named filtering and monitoring lead.</w:t>
            </w:r>
          </w:p>
        </w:tc>
      </w:tr>
      <w:tr>
        <w:tc>
          <w:tcPr>
            <w:tcW w:type="dxa" w:w="10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13</w:t>
            </w:r>
          </w:p>
        </w:tc>
        <w:tc>
          <w:tcPr>
            <w:tcW w:type="dxa" w:w="34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Breaches and serious incidents</w:t>
            </w:r>
          </w:p>
        </w:tc>
        <w:tc>
          <w:tcPr>
            <w:tcW w:type="dxa" w:w="51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Your disciplinary and escalation routes.</w:t>
            </w:r>
          </w:p>
        </w:tc>
      </w:tr>
      <w:tr>
        <w:tc>
          <w:tcPr>
            <w:tcW w:type="dxa" w:w="10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P</w:t>
            </w:r>
          </w:p>
        </w:tc>
        <w:tc>
          <w:tcPr>
            <w:tcW w:type="dxa" w:w="34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Pupil use (optional module)</w:t>
            </w:r>
          </w:p>
        </w:tc>
        <w:tc>
          <w:tcPr>
            <w:tcW w:type="dxa" w:w="51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Switch on only after a DPIA and an age-appropriate AI education plan are in place.</w:t>
            </w:r>
          </w:p>
        </w:tc>
      </w:tr>
    </w:tbl>
    <w:p>
      <w:pPr>
        <w:spacing w:after="110"/>
      </w:pPr>
    </w:p>
    <w:tbl>
      <w:tblPr>
        <w:tblW w:type="dxa" w:w="9520"/>
        <w:tblBorders>
          <w:top w:val="single" w:color="BDC3C7" w:sz="4"/>
          <w:left w:val="single" w:color="BDC3C7" w:sz="4"/>
          <w:bottom w:val="single" w:color="BDC3C7" w:sz="4"/>
          <w:right w:val="single" w:color="BDC3C7" w:sz="4"/>
          <w:insideH w:val="none"/>
          <w:insideV w:val="none"/>
        </w:tblBorders>
      </w:tblPr>
      <w:tblGrid>
        <w:gridCol w:w="9520"/>
      </w:tblGrid>
      <w:tr>
        <w:tc>
          <w:tcPr>
            <w:tcW w:type="dxa" w:w="9520"/>
            <w:shd w:fill="FDEBD0" w:val="clear"/>
            <w:tcMar>
              <w:top w:type="dxa" w:w="130"/>
              <w:left w:type="dxa" w:w="190"/>
              <w:bottom w:type="dxa" w:w="90"/>
              <w:right w:type="dxa" w:w="190"/>
            </w:tcMar>
          </w:tcPr>
          <w:p>
            <w:pPr>
              <w:spacing w:after="80"/>
            </w:pPr>
            <w:r>
              <w:rPr>
                <w:rFonts w:ascii="Exo 2" w:cs="Exo 2" w:eastAsia="Exo 2" w:hAnsi="Exo 2"/>
                <w:b/>
                <w:bCs/>
                <w:color w:val="2C3E50"/>
                <w:sz w:val="20"/>
                <w:szCs w:val="20"/>
              </w:rPr>
              <w:t xml:space="preserve">THE NON-NEGOTIABLES</w:t>
            </w:r>
          </w:p>
          <w:p>
            <w:pPr>
              <w:spacing w:after="40" w:line="260"/>
            </w:pPr>
            <w:r>
              <w:rPr>
                <w:rFonts w:ascii="Poppins" w:cs="Poppins" w:eastAsia="Poppins" w:hAnsi="Poppins"/>
                <w:color w:val="1A1A1A"/>
                <w:sz w:val="19"/>
                <w:szCs w:val="19"/>
              </w:rPr>
              <w:t xml:space="preserve">Some elements are deliberately not bracketed because weakening them would make the policy non-compliant: the default prohibition on entering personal or special category data (information about real, identifiable people) into AI tools, lifted only for a tool expressly approved for that processing through the gate; the human-in-the-loop principle; a DPIA before deploying AI that processes personal data; the tool-approval gate; and the Prevent, safeguarding and online-safety duties. Tailor the wording to your voice; do not remove the substance.</w:t>
            </w:r>
          </w:p>
        </w:tc>
      </w:tr>
    </w:tbl>
    <w:p>
      <w:r>
        <w:br w:type="page"/>
      </w:r>
    </w:p>
    <w:p>
      <w:pPr>
        <w:pStyle w:val="Heading1"/>
        <w:keepNext/>
        <w:spacing w:after="180" w:before="60"/>
      </w:pPr>
      <w:r>
        <w:rPr>
          <w:rFonts w:ascii="Exo 2" w:cs="Exo 2" w:eastAsia="Exo 2" w:hAnsi="Exo 2"/>
          <w:b/>
          <w:bCs/>
          <w:color w:val="2C3E50"/>
          <w:sz w:val="34"/>
          <w:szCs w:val="34"/>
        </w:rPr>
        <w:t xml:space="preserve">Use of Artificial Intelligence (AI) Policy</w:t>
      </w:r>
    </w:p>
    <w:tbl>
      <w:tblPr>
        <w:tblW w:type="dxa" w:w="9520"/>
        <w:tblBorders>
          <w:top w:val="single" w:color="BDC3C7" w:sz="4"/>
          <w:left w:val="single" w:color="BDC3C7" w:sz="4"/>
          <w:bottom w:val="single" w:color="BDC3C7" w:sz="4"/>
          <w:right w:val="single" w:color="BDC3C7" w:sz="4"/>
          <w:insideH w:val="single" w:color="BDC3C7" w:sz="4"/>
          <w:insideV w:val="single" w:color="BDC3C7" w:sz="4"/>
        </w:tblBorders>
      </w:tblPr>
      <w:tblGrid>
        <w:gridCol w:w="2800"/>
        <w:gridCol w:w="6720"/>
      </w:tblGrid>
      <w:tr>
        <w:trPr>
          <w:tblHeader/>
        </w:trPr>
        <w:tc>
          <w:tcPr>
            <w:tcW w:type="dxa" w:w="2800"/>
            <w:shd w:fill="2C3E50" w:val="clear"/>
            <w:tcMar>
              <w:top w:type="dxa" w:w="85"/>
              <w:left w:type="dxa" w:w="125"/>
              <w:bottom w:type="dxa" w:w="85"/>
              <w:right w:type="dxa" w:w="125"/>
            </w:tcMar>
          </w:tcPr>
          <w:p>
            <w:pPr>
              <w:spacing w:after="0" w:line="250"/>
            </w:pPr>
            <w:r>
              <w:rPr>
                <w:rFonts w:ascii="Poppins" w:cs="Poppins" w:eastAsia="Poppins" w:hAnsi="Poppins"/>
                <w:b/>
                <w:bCs/>
                <w:color w:val="FFFFFF"/>
                <w:sz w:val="19"/>
                <w:szCs w:val="19"/>
              </w:rPr>
              <w:t xml:space="preserve">Field</w:t>
            </w:r>
          </w:p>
        </w:tc>
        <w:tc>
          <w:tcPr>
            <w:tcW w:type="dxa" w:w="6720"/>
            <w:shd w:fill="2C3E50" w:val="clear"/>
            <w:tcMar>
              <w:top w:type="dxa" w:w="85"/>
              <w:left w:type="dxa" w:w="125"/>
              <w:bottom w:type="dxa" w:w="85"/>
              <w:right w:type="dxa" w:w="125"/>
            </w:tcMar>
          </w:tcPr>
          <w:p>
            <w:pPr>
              <w:spacing w:after="0" w:line="250"/>
            </w:pPr>
            <w:r>
              <w:rPr>
                <w:rFonts w:ascii="Poppins" w:cs="Poppins" w:eastAsia="Poppins" w:hAnsi="Poppins"/>
                <w:b/>
                <w:bCs/>
                <w:color w:val="FFFFFF"/>
                <w:sz w:val="19"/>
                <w:szCs w:val="19"/>
              </w:rPr>
              <w:t xml:space="preserve">Detail</w:t>
            </w:r>
          </w:p>
        </w:tc>
      </w:tr>
      <w:tr>
        <w:tc>
          <w:tcPr>
            <w:tcW w:type="dxa" w:w="28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School / Trust / College</w:t>
            </w:r>
          </w:p>
        </w:tc>
        <w:tc>
          <w:tcPr>
            <w:tcW w:type="dxa" w:w="672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 ORGANISATION NAME]</w:t>
            </w:r>
          </w:p>
        </w:tc>
      </w:tr>
      <w:tr>
        <w:tc>
          <w:tcPr>
            <w:tcW w:type="dxa" w:w="28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Policy owner</w:t>
            </w:r>
          </w:p>
        </w:tc>
        <w:tc>
          <w:tcPr>
            <w:tcW w:type="dxa" w:w="672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 NAME / ROLE]</w:t>
            </w:r>
          </w:p>
        </w:tc>
      </w:tr>
      <w:tr>
        <w:tc>
          <w:tcPr>
            <w:tcW w:type="dxa" w:w="28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Date of last review</w:t>
            </w:r>
          </w:p>
        </w:tc>
        <w:tc>
          <w:tcPr>
            <w:tcW w:type="dxa" w:w="672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 DATE]</w:t>
            </w:r>
          </w:p>
        </w:tc>
      </w:tr>
      <w:tr>
        <w:tc>
          <w:tcPr>
            <w:tcW w:type="dxa" w:w="28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Next review due</w:t>
            </w:r>
          </w:p>
        </w:tc>
        <w:tc>
          <w:tcPr>
            <w:tcW w:type="dxa" w:w="672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 DATE]</w:t>
            </w:r>
          </w:p>
        </w:tc>
      </w:tr>
      <w:tr>
        <w:tc>
          <w:tcPr>
            <w:tcW w:type="dxa" w:w="28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Approved by</w:t>
            </w:r>
          </w:p>
        </w:tc>
        <w:tc>
          <w:tcPr>
            <w:tcW w:type="dxa" w:w="672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 ROLE / COMMITTEE]</w:t>
            </w:r>
          </w:p>
        </w:tc>
      </w:tr>
    </w:tbl>
    <w:p>
      <w:pPr>
        <w:spacing w:after="110"/>
      </w:pPr>
    </w:p>
    <w:p>
      <w:pPr>
        <w:pStyle w:val="Heading2"/>
        <w:keepNext/>
        <w:spacing w:after="130" w:before="260"/>
      </w:pPr>
      <w:r>
        <w:rPr>
          <w:rFonts w:ascii="Exo 2" w:cs="Exo 2" w:eastAsia="Exo 2" w:hAnsi="Exo 2"/>
          <w:b/>
          <w:bCs/>
          <w:color w:val="2C3E50"/>
          <w:sz w:val="27"/>
          <w:szCs w:val="27"/>
        </w:rPr>
        <w:t xml:space="preserve">1. Policy statement</w:t>
      </w:r>
    </w:p>
    <w:p>
      <w:pPr>
        <w:spacing w:after="150" w:line="272"/>
      </w:pPr>
      <w:r>
        <w:rPr>
          <w:rFonts w:ascii="Poppins" w:cs="Poppins" w:eastAsia="Poppins" w:hAnsi="Poppins"/>
          <w:b/>
          <w:bCs/>
          <w:color w:val="A04000"/>
          <w:sz w:val="21"/>
          <w:szCs w:val="21"/>
        </w:rPr>
        <w:t xml:space="preserve">[INSERT WHY YOUR ORGANISATION IS ADOPTING AI, e.g. Our philosophy is that technology should enhance what we do, not outsource what we do; at [our organisation] we adopt a pedagogy first, technology second approach]</w:t>
      </w:r>
      <w:r>
        <w:rPr>
          <w:rFonts w:ascii="Poppins" w:cs="Poppins" w:eastAsia="Poppins" w:hAnsi="Poppins"/>
          <w:color w:val="1A1A1A"/>
          <w:sz w:val="21"/>
          <w:szCs w:val="21"/>
        </w:rPr>
        <w:t xml:space="preserve">. This policy sets out how </w:t>
      </w:r>
      <w:r>
        <w:rPr>
          <w:rFonts w:ascii="Poppins" w:cs="Poppins" w:eastAsia="Poppins" w:hAnsi="Poppins"/>
          <w:b/>
          <w:bCs/>
          <w:color w:val="A04000"/>
          <w:sz w:val="21"/>
          <w:szCs w:val="21"/>
        </w:rPr>
        <w:t xml:space="preserve">[INSERT ORGANISATION NAME]</w:t>
      </w:r>
      <w:r>
        <w:rPr>
          <w:rFonts w:ascii="Poppins" w:cs="Poppins" w:eastAsia="Poppins" w:hAnsi="Poppins"/>
          <w:color w:val="1A1A1A"/>
          <w:sz w:val="21"/>
          <w:szCs w:val="21"/>
        </w:rPr>
        <w:t xml:space="preserve"> uses artificial intelligence (AI): by whom, for what and within what limits, so its benefits are realised without compromising the safety of children and adults, data security and privacy, fairness, or professional and academic integrity. It forms part of the organisation’s wider digital strategy and is reviewed </w:t>
      </w:r>
      <w:r>
        <w:rPr>
          <w:rFonts w:ascii="Poppins" w:cs="Poppins" w:eastAsia="Poppins" w:hAnsi="Poppins"/>
          <w:b/>
          <w:bCs/>
          <w:color w:val="A04000"/>
          <w:sz w:val="21"/>
          <w:szCs w:val="21"/>
        </w:rPr>
        <w:t xml:space="preserve">[INSERT REVIEW CYCLE, e.g. annually]</w:t>
      </w:r>
      <w:r>
        <w:rPr>
          <w:rFonts w:ascii="Poppins" w:cs="Poppins" w:eastAsia="Poppins" w:hAnsi="Poppins"/>
          <w:color w:val="1A1A1A"/>
          <w:sz w:val="21"/>
          <w:szCs w:val="21"/>
        </w:rPr>
        <w:t xml:space="preserve"> and whenever law, guidance or the organisation’s use of AI materially changes.</w:t>
      </w:r>
    </w:p>
    <w:p>
      <w:pPr>
        <w:spacing w:after="150" w:line="272"/>
      </w:pPr>
      <w:r>
        <w:rPr>
          <w:rFonts w:ascii="Poppins" w:cs="Poppins" w:eastAsia="Poppins" w:hAnsi="Poppins"/>
          <w:color w:val="1A1A1A"/>
          <w:sz w:val="21"/>
          <w:szCs w:val="21"/>
        </w:rPr>
        <w:t xml:space="preserve">This policy sits within, and does not cut across, the wider framework that applies to the organisation. It should be read alongside:</w:t>
      </w:r>
    </w:p>
    <w:p>
      <w:pPr>
        <w:pStyle w:val="ListParagraph"/>
        <w:numPr>
          <w:ilvl w:val="0"/>
          <w:numId w:val="2"/>
        </w:numPr>
        <w:spacing w:after="90" w:line="272"/>
      </w:pPr>
      <w:r>
        <w:rPr>
          <w:rFonts w:ascii="Poppins" w:cs="Poppins" w:eastAsia="Poppins" w:hAnsi="Poppins"/>
          <w:b/>
          <w:bCs/>
          <w:color w:val="1A1A1A"/>
          <w:sz w:val="21"/>
          <w:szCs w:val="21"/>
        </w:rPr>
        <w:t xml:space="preserve">Keeping Children Safe in Education 2026</w:t>
      </w:r>
      <w:r>
        <w:rPr>
          <w:rFonts w:ascii="Poppins" w:cs="Poppins" w:eastAsia="Poppins" w:hAnsi="Poppins"/>
          <w:color w:val="1A1A1A"/>
          <w:sz w:val="21"/>
          <w:szCs w:val="21"/>
        </w:rPr>
        <w:t xml:space="preserve">, the statutory safeguarding baseline from 1 September 2026, which addresses AI within its four areas of online risk (section 9);</w:t>
      </w:r>
    </w:p>
    <w:p>
      <w:pPr>
        <w:pStyle w:val="ListParagraph"/>
        <w:numPr>
          <w:ilvl w:val="0"/>
          <w:numId w:val="2"/>
        </w:numPr>
        <w:spacing w:after="90" w:line="272"/>
      </w:pPr>
      <w:r>
        <w:rPr>
          <w:rFonts w:ascii="Poppins" w:cs="Poppins" w:eastAsia="Poppins" w:hAnsi="Poppins"/>
          <w:color w:val="1A1A1A"/>
          <w:sz w:val="21"/>
          <w:szCs w:val="21"/>
        </w:rPr>
        <w:t xml:space="preserve">the </w:t>
      </w:r>
      <w:r>
        <w:rPr>
          <w:rFonts w:ascii="Poppins" w:cs="Poppins" w:eastAsia="Poppins" w:hAnsi="Poppins"/>
          <w:b/>
          <w:bCs/>
          <w:color w:val="1A1A1A"/>
          <w:sz w:val="21"/>
          <w:szCs w:val="21"/>
        </w:rPr>
        <w:t xml:space="preserve">UK GDPR</w:t>
      </w:r>
      <w:r>
        <w:rPr>
          <w:rFonts w:ascii="Poppins" w:cs="Poppins" w:eastAsia="Poppins" w:hAnsi="Poppins"/>
          <w:color w:val="1A1A1A"/>
          <w:sz w:val="21"/>
          <w:szCs w:val="21"/>
        </w:rPr>
        <w:t xml:space="preserve"> and the </w:t>
      </w:r>
      <w:r>
        <w:rPr>
          <w:rFonts w:ascii="Poppins" w:cs="Poppins" w:eastAsia="Poppins" w:hAnsi="Poppins"/>
          <w:b/>
          <w:bCs/>
          <w:color w:val="1A1A1A"/>
          <w:sz w:val="21"/>
          <w:szCs w:val="21"/>
        </w:rPr>
        <w:t xml:space="preserve">Data Protection Act 2018</w:t>
      </w:r>
      <w:r>
        <w:rPr>
          <w:rFonts w:ascii="Poppins" w:cs="Poppins" w:eastAsia="Poppins" w:hAnsi="Poppins"/>
          <w:color w:val="1A1A1A"/>
          <w:sz w:val="21"/>
          <w:szCs w:val="21"/>
        </w:rPr>
        <w:t xml:space="preserve">, each as amended by the Data (Use and Access) Act 2025, with ICO guidance on AI, the ICO AI and data protection risk toolkit and, wherever children’s data is involved, the ICO Children’s Code;</w:t>
      </w:r>
    </w:p>
    <w:p>
      <w:pPr>
        <w:pStyle w:val="ListParagraph"/>
        <w:numPr>
          <w:ilvl w:val="0"/>
          <w:numId w:val="2"/>
        </w:numPr>
        <w:spacing w:after="90" w:line="272"/>
      </w:pPr>
      <w:r>
        <w:rPr>
          <w:rFonts w:ascii="Poppins" w:cs="Poppins" w:eastAsia="Poppins" w:hAnsi="Poppins"/>
          <w:color w:val="1A1A1A"/>
          <w:sz w:val="21"/>
          <w:szCs w:val="21"/>
        </w:rPr>
        <w:t xml:space="preserve">the </w:t>
      </w:r>
      <w:r>
        <w:rPr>
          <w:rFonts w:ascii="Poppins" w:cs="Poppins" w:eastAsia="Poppins" w:hAnsi="Poppins"/>
          <w:b/>
          <w:bCs/>
          <w:color w:val="1A1A1A"/>
          <w:sz w:val="21"/>
          <w:szCs w:val="21"/>
        </w:rPr>
        <w:t xml:space="preserve">Equality Act 2010</w:t>
      </w:r>
      <w:r>
        <w:rPr>
          <w:rFonts w:ascii="Poppins" w:cs="Poppins" w:eastAsia="Poppins" w:hAnsi="Poppins"/>
          <w:color w:val="1A1A1A"/>
          <w:sz w:val="21"/>
          <w:szCs w:val="21"/>
        </w:rPr>
        <w:t xml:space="preserve"> and, for public bodies, the </w:t>
      </w:r>
      <w:r>
        <w:rPr>
          <w:rFonts w:ascii="Poppins" w:cs="Poppins" w:eastAsia="Poppins" w:hAnsi="Poppins"/>
          <w:b/>
          <w:bCs/>
          <w:color w:val="1A1A1A"/>
          <w:sz w:val="21"/>
          <w:szCs w:val="21"/>
        </w:rPr>
        <w:t xml:space="preserve">public sector equality duty</w:t>
      </w:r>
      <w:r>
        <w:rPr>
          <w:rFonts w:ascii="Poppins" w:cs="Poppins" w:eastAsia="Poppins" w:hAnsi="Poppins"/>
          <w:color w:val="1A1A1A"/>
          <w:sz w:val="21"/>
          <w:szCs w:val="21"/>
        </w:rPr>
        <w:t xml:space="preserve">, which apply to AI-assisted activity as to everything else;</w:t>
      </w:r>
    </w:p>
    <w:p>
      <w:pPr>
        <w:pStyle w:val="ListParagraph"/>
        <w:numPr>
          <w:ilvl w:val="0"/>
          <w:numId w:val="2"/>
        </w:numPr>
        <w:spacing w:after="90" w:line="272"/>
      </w:pPr>
      <w:r>
        <w:rPr>
          <w:rFonts w:ascii="Poppins" w:cs="Poppins" w:eastAsia="Poppins" w:hAnsi="Poppins"/>
          <w:color w:val="1A1A1A"/>
          <w:sz w:val="21"/>
          <w:szCs w:val="21"/>
        </w:rPr>
        <w:t xml:space="preserve">the </w:t>
      </w:r>
      <w:r>
        <w:rPr>
          <w:rFonts w:ascii="Poppins" w:cs="Poppins" w:eastAsia="Poppins" w:hAnsi="Poppins"/>
          <w:b/>
          <w:bCs/>
          <w:color w:val="1A1A1A"/>
          <w:sz w:val="21"/>
          <w:szCs w:val="21"/>
        </w:rPr>
        <w:t xml:space="preserve">DfE position on generative AI in education</w:t>
      </w:r>
      <w:r>
        <w:rPr>
          <w:rFonts w:ascii="Poppins" w:cs="Poppins" w:eastAsia="Poppins" w:hAnsi="Poppins"/>
          <w:color w:val="1A1A1A"/>
          <w:sz w:val="21"/>
          <w:szCs w:val="21"/>
        </w:rPr>
        <w:t xml:space="preserve"> and the </w:t>
      </w:r>
      <w:r>
        <w:rPr>
          <w:rFonts w:ascii="Poppins" w:cs="Poppins" w:eastAsia="Poppins" w:hAnsi="Poppins"/>
          <w:b/>
          <w:bCs/>
          <w:color w:val="1A1A1A"/>
          <w:sz w:val="21"/>
          <w:szCs w:val="21"/>
        </w:rPr>
        <w:t xml:space="preserve">DfE generative AI product safety standards</w:t>
      </w:r>
      <w:r>
        <w:rPr>
          <w:rFonts w:ascii="Poppins" w:cs="Poppins" w:eastAsia="Poppins" w:hAnsi="Poppins"/>
          <w:color w:val="1A1A1A"/>
          <w:sz w:val="21"/>
          <w:szCs w:val="21"/>
        </w:rPr>
        <w:t xml:space="preserve"> (January 2026);</w:t>
      </w:r>
    </w:p>
    <w:p>
      <w:pPr>
        <w:pStyle w:val="ListParagraph"/>
        <w:numPr>
          <w:ilvl w:val="0"/>
          <w:numId w:val="2"/>
        </w:numPr>
        <w:spacing w:after="90" w:line="272"/>
      </w:pPr>
      <w:r>
        <w:rPr>
          <w:rFonts w:ascii="Poppins" w:cs="Poppins" w:eastAsia="Poppins" w:hAnsi="Poppins"/>
          <w:b/>
          <w:bCs/>
          <w:color w:val="1A1A1A"/>
          <w:sz w:val="21"/>
          <w:szCs w:val="21"/>
        </w:rPr>
        <w:t xml:space="preserve">JCQ guidance on AI use in assessments</w:t>
      </w:r>
      <w:r>
        <w:rPr>
          <w:rFonts w:ascii="Poppins" w:cs="Poppins" w:eastAsia="Poppins" w:hAnsi="Poppins"/>
          <w:color w:val="1A1A1A"/>
          <w:sz w:val="21"/>
          <w:szCs w:val="21"/>
        </w:rPr>
        <w:t xml:space="preserve">, where qualifications are involved;</w:t>
      </w:r>
    </w:p>
    <w:p>
      <w:pPr>
        <w:pStyle w:val="ListParagraph"/>
        <w:numPr>
          <w:ilvl w:val="0"/>
          <w:numId w:val="2"/>
        </w:numPr>
        <w:spacing w:after="90" w:line="272"/>
      </w:pPr>
      <w:r>
        <w:rPr>
          <w:rFonts w:ascii="Poppins" w:cs="Poppins" w:eastAsia="Poppins" w:hAnsi="Poppins"/>
          <w:color w:val="1A1A1A"/>
          <w:sz w:val="21"/>
          <w:szCs w:val="21"/>
        </w:rPr>
        <w:t xml:space="preserve">the DfE </w:t>
      </w:r>
      <w:r>
        <w:rPr>
          <w:rFonts w:ascii="Poppins" w:cs="Poppins" w:eastAsia="Poppins" w:hAnsi="Poppins"/>
          <w:b/>
          <w:bCs/>
          <w:color w:val="1A1A1A"/>
          <w:sz w:val="21"/>
          <w:szCs w:val="21"/>
        </w:rPr>
        <w:t xml:space="preserve">filtering and monitoring</w:t>
      </w:r>
      <w:r>
        <w:rPr>
          <w:rFonts w:ascii="Poppins" w:cs="Poppins" w:eastAsia="Poppins" w:hAnsi="Poppins"/>
          <w:color w:val="1A1A1A"/>
          <w:sz w:val="21"/>
          <w:szCs w:val="21"/>
        </w:rPr>
        <w:t xml:space="preserve">, </w:t>
      </w:r>
      <w:r>
        <w:rPr>
          <w:rFonts w:ascii="Poppins" w:cs="Poppins" w:eastAsia="Poppins" w:hAnsi="Poppins"/>
          <w:b/>
          <w:bCs/>
          <w:color w:val="1A1A1A"/>
          <w:sz w:val="21"/>
          <w:szCs w:val="21"/>
        </w:rPr>
        <w:t xml:space="preserve">cyber security</w:t>
      </w:r>
      <w:r>
        <w:rPr>
          <w:rFonts w:ascii="Poppins" w:cs="Poppins" w:eastAsia="Poppins" w:hAnsi="Poppins"/>
          <w:color w:val="1A1A1A"/>
          <w:sz w:val="21"/>
          <w:szCs w:val="21"/>
        </w:rPr>
        <w:t xml:space="preserve"> and </w:t>
      </w:r>
      <w:r>
        <w:rPr>
          <w:rFonts w:ascii="Poppins" w:cs="Poppins" w:eastAsia="Poppins" w:hAnsi="Poppins"/>
          <w:b/>
          <w:bCs/>
          <w:color w:val="1A1A1A"/>
          <w:sz w:val="21"/>
          <w:szCs w:val="21"/>
        </w:rPr>
        <w:t xml:space="preserve">digital leadership and governance</w:t>
      </w:r>
      <w:r>
        <w:rPr>
          <w:rFonts w:ascii="Poppins" w:cs="Poppins" w:eastAsia="Poppins" w:hAnsi="Poppins"/>
          <w:color w:val="1A1A1A"/>
          <w:sz w:val="21"/>
          <w:szCs w:val="21"/>
        </w:rPr>
        <w:t xml:space="preserve"> standards;</w:t>
      </w:r>
    </w:p>
    <w:p>
      <w:pPr>
        <w:pStyle w:val="ListParagraph"/>
        <w:numPr>
          <w:ilvl w:val="0"/>
          <w:numId w:val="2"/>
        </w:numPr>
        <w:spacing w:after="90" w:line="272"/>
      </w:pPr>
      <w:r>
        <w:rPr>
          <w:rFonts w:ascii="Poppins" w:cs="Poppins" w:eastAsia="Poppins" w:hAnsi="Poppins"/>
          <w:color w:val="1A1A1A"/>
          <w:sz w:val="21"/>
          <w:szCs w:val="21"/>
        </w:rPr>
        <w:t xml:space="preserve">the </w:t>
      </w:r>
      <w:r>
        <w:rPr>
          <w:rFonts w:ascii="Poppins" w:cs="Poppins" w:eastAsia="Poppins" w:hAnsi="Poppins"/>
          <w:b/>
          <w:bCs/>
          <w:color w:val="1A1A1A"/>
          <w:sz w:val="21"/>
          <w:szCs w:val="21"/>
        </w:rPr>
        <w:t xml:space="preserve">Online Safety Act 2023</w:t>
      </w:r>
      <w:r>
        <w:rPr>
          <w:rFonts w:ascii="Poppins" w:cs="Poppins" w:eastAsia="Poppins" w:hAnsi="Poppins"/>
          <w:color w:val="1A1A1A"/>
          <w:sz w:val="21"/>
          <w:szCs w:val="21"/>
        </w:rPr>
        <w:t xml:space="preserve"> and the </w:t>
      </w:r>
      <w:r>
        <w:rPr>
          <w:rFonts w:ascii="Poppins" w:cs="Poppins" w:eastAsia="Poppins" w:hAnsi="Poppins"/>
          <w:b/>
          <w:bCs/>
          <w:color w:val="1A1A1A"/>
          <w:sz w:val="21"/>
          <w:szCs w:val="21"/>
        </w:rPr>
        <w:t xml:space="preserve">Ofcom Protection of Children code of practice</w:t>
      </w:r>
      <w:r>
        <w:rPr>
          <w:rFonts w:ascii="Poppins" w:cs="Poppins" w:eastAsia="Poppins" w:hAnsi="Poppins"/>
          <w:color w:val="1A1A1A"/>
          <w:sz w:val="21"/>
          <w:szCs w:val="21"/>
        </w:rPr>
        <w:t xml:space="preserve">;</w:t>
      </w:r>
    </w:p>
    <w:p>
      <w:pPr>
        <w:pStyle w:val="ListParagraph"/>
        <w:numPr>
          <w:ilvl w:val="0"/>
          <w:numId w:val="2"/>
        </w:numPr>
        <w:spacing w:after="90" w:line="272"/>
      </w:pPr>
      <w:r>
        <w:rPr>
          <w:rFonts w:ascii="Poppins" w:cs="Poppins" w:eastAsia="Poppins" w:hAnsi="Poppins"/>
          <w:color w:val="1A1A1A"/>
          <w:sz w:val="21"/>
          <w:szCs w:val="21"/>
        </w:rPr>
        <w:t xml:space="preserve">the </w:t>
      </w:r>
      <w:r>
        <w:rPr>
          <w:rFonts w:ascii="Poppins" w:cs="Poppins" w:eastAsia="Poppins" w:hAnsi="Poppins"/>
          <w:b/>
          <w:bCs/>
          <w:color w:val="1A1A1A"/>
          <w:sz w:val="21"/>
          <w:szCs w:val="21"/>
        </w:rPr>
        <w:t xml:space="preserve">Prevent duty guidance</w:t>
      </w:r>
      <w:r>
        <w:rPr>
          <w:rFonts w:ascii="Poppins" w:cs="Poppins" w:eastAsia="Poppins" w:hAnsi="Poppins"/>
          <w:color w:val="1A1A1A"/>
          <w:sz w:val="21"/>
          <w:szCs w:val="21"/>
        </w:rPr>
        <w:t xml:space="preserve"> for England and Wales (2023) and </w:t>
      </w:r>
      <w:r>
        <w:rPr>
          <w:rFonts w:ascii="Poppins" w:cs="Poppins" w:eastAsia="Poppins" w:hAnsi="Poppins"/>
          <w:b/>
          <w:bCs/>
          <w:color w:val="1A1A1A"/>
          <w:sz w:val="21"/>
          <w:szCs w:val="21"/>
        </w:rPr>
        <w:t xml:space="preserve">Working Together to Safeguard Children 2026</w:t>
      </w:r>
      <w:r>
        <w:rPr>
          <w:rFonts w:ascii="Poppins" w:cs="Poppins" w:eastAsia="Poppins" w:hAnsi="Poppins"/>
          <w:color w:val="1A1A1A"/>
          <w:sz w:val="21"/>
          <w:szCs w:val="21"/>
        </w:rPr>
        <w:t xml:space="preserve">;</w:t>
      </w:r>
    </w:p>
    <w:p>
      <w:pPr>
        <w:pStyle w:val="ListParagraph"/>
        <w:numPr>
          <w:ilvl w:val="0"/>
          <w:numId w:val="2"/>
        </w:numPr>
        <w:spacing w:after="90" w:line="272"/>
      </w:pPr>
      <w:r>
        <w:rPr>
          <w:rFonts w:ascii="Poppins" w:cs="Poppins" w:eastAsia="Poppins" w:hAnsi="Poppins"/>
          <w:color w:val="1A1A1A"/>
          <w:sz w:val="21"/>
          <w:szCs w:val="21"/>
        </w:rPr>
        <w:t xml:space="preserve">the financial governance framework that applies: the </w:t>
      </w:r>
      <w:r>
        <w:rPr>
          <w:rFonts w:ascii="Poppins" w:cs="Poppins" w:eastAsia="Poppins" w:hAnsi="Poppins"/>
          <w:b/>
          <w:bCs/>
          <w:color w:val="1A1A1A"/>
          <w:sz w:val="21"/>
          <w:szCs w:val="21"/>
        </w:rPr>
        <w:t xml:space="preserve">Academy Trust Handbook</w:t>
      </w:r>
      <w:r>
        <w:rPr>
          <w:rFonts w:ascii="Poppins" w:cs="Poppins" w:eastAsia="Poppins" w:hAnsi="Poppins"/>
          <w:color w:val="1A1A1A"/>
          <w:sz w:val="21"/>
          <w:szCs w:val="21"/>
        </w:rPr>
        <w:t xml:space="preserve"> for academy trusts; the local authority’s </w:t>
      </w:r>
      <w:r>
        <w:rPr>
          <w:rFonts w:ascii="Poppins" w:cs="Poppins" w:eastAsia="Poppins" w:hAnsi="Poppins"/>
          <w:b/>
          <w:bCs/>
          <w:color w:val="1A1A1A"/>
          <w:sz w:val="21"/>
          <w:szCs w:val="21"/>
        </w:rPr>
        <w:t xml:space="preserve">scheme for financing schools</w:t>
      </w:r>
      <w:r>
        <w:rPr>
          <w:rFonts w:ascii="Poppins" w:cs="Poppins" w:eastAsia="Poppins" w:hAnsi="Poppins"/>
          <w:color w:val="1A1A1A"/>
          <w:sz w:val="21"/>
          <w:szCs w:val="21"/>
        </w:rPr>
        <w:t xml:space="preserve"> and the </w:t>
      </w:r>
      <w:r>
        <w:rPr>
          <w:rFonts w:ascii="Poppins" w:cs="Poppins" w:eastAsia="Poppins" w:hAnsi="Poppins"/>
          <w:b/>
          <w:bCs/>
          <w:color w:val="1A1A1A"/>
          <w:sz w:val="21"/>
          <w:szCs w:val="21"/>
        </w:rPr>
        <w:t xml:space="preserve">Schools Financial Value Standard</w:t>
      </w:r>
      <w:r>
        <w:rPr>
          <w:rFonts w:ascii="Poppins" w:cs="Poppins" w:eastAsia="Poppins" w:hAnsi="Poppins"/>
          <w:color w:val="1A1A1A"/>
          <w:sz w:val="21"/>
          <w:szCs w:val="21"/>
        </w:rPr>
        <w:t xml:space="preserve"> for maintained schools; </w:t>
      </w:r>
      <w:r>
        <w:rPr>
          <w:rFonts w:ascii="Poppins" w:cs="Poppins" w:eastAsia="Poppins" w:hAnsi="Poppins"/>
          <w:b/>
          <w:bCs/>
          <w:color w:val="A04000"/>
          <w:sz w:val="21"/>
          <w:szCs w:val="21"/>
        </w:rPr>
        <w:t xml:space="preserve">[INSERT FOR A COLLEGE: the framework applying to your corporation]</w:t>
      </w:r>
      <w:r>
        <w:rPr>
          <w:rFonts w:ascii="Poppins" w:cs="Poppins" w:eastAsia="Poppins" w:hAnsi="Poppins"/>
          <w:color w:val="1A1A1A"/>
          <w:sz w:val="21"/>
          <w:szCs w:val="21"/>
        </w:rPr>
        <w:t xml:space="preserve">; and</w:t>
      </w:r>
    </w:p>
    <w:p>
      <w:pPr>
        <w:pStyle w:val="ListParagraph"/>
        <w:numPr>
          <w:ilvl w:val="0"/>
          <w:numId w:val="2"/>
        </w:numPr>
        <w:spacing w:after="90" w:line="272"/>
      </w:pPr>
      <w:r>
        <w:rPr>
          <w:rFonts w:ascii="Poppins" w:cs="Poppins" w:eastAsia="Poppins" w:hAnsi="Poppins"/>
          <w:b/>
          <w:bCs/>
          <w:color w:val="A04000"/>
          <w:sz w:val="21"/>
          <w:szCs w:val="21"/>
        </w:rPr>
        <w:t xml:space="preserve">[INSERT YOUR RELATED POLICIES, e.g. child protection, data protection and acceptable use]</w:t>
      </w:r>
      <w:r>
        <w:rPr>
          <w:rFonts w:ascii="Poppins" w:cs="Poppins" w:eastAsia="Poppins" w:hAnsi="Poppins"/>
          <w:color w:val="1A1A1A"/>
          <w:sz w:val="21"/>
          <w:szCs w:val="21"/>
        </w:rPr>
        <w:t xml:space="preserve">.</w:t>
      </w:r>
    </w:p>
    <w:p>
      <w:pPr>
        <w:spacing w:after="150" w:line="272"/>
      </w:pPr>
      <w:r>
        <w:rPr>
          <w:rFonts w:ascii="Poppins" w:cs="Poppins" w:eastAsia="Poppins" w:hAnsi="Poppins"/>
          <w:color w:val="1A1A1A"/>
          <w:sz w:val="21"/>
          <w:szCs w:val="21"/>
        </w:rPr>
        <w:t xml:space="preserve">This policy governs use of AI by </w:t>
      </w:r>
      <w:r>
        <w:rPr>
          <w:rFonts w:ascii="Poppins" w:cs="Poppins" w:eastAsia="Poppins" w:hAnsi="Poppins"/>
          <w:b/>
          <w:bCs/>
          <w:color w:val="A04000"/>
          <w:sz w:val="21"/>
          <w:szCs w:val="21"/>
        </w:rPr>
        <w:t xml:space="preserve">[INSERT AUDIENCES IN SCOPE, e.g. all staff, governors, trustees, volunteers and contractors]</w:t>
      </w:r>
      <w:r>
        <w:rPr>
          <w:rFonts w:ascii="Poppins" w:cs="Poppins" w:eastAsia="Poppins" w:hAnsi="Poppins"/>
          <w:color w:val="1A1A1A"/>
          <w:sz w:val="21"/>
          <w:szCs w:val="21"/>
        </w:rPr>
        <w:t xml:space="preserve">. Pupils come into scope only where the optional pupil-use module has been adopted. Throughout this policy, “staff” is shorthand for everyone in scope.</w:t>
      </w:r>
    </w:p>
    <w:tbl>
      <w:tblPr>
        <w:tblW w:type="dxa" w:w="9520"/>
        <w:tblBorders>
          <w:top w:val="single" w:color="BDC3C7" w:sz="4"/>
          <w:left w:val="single" w:color="BDC3C7" w:sz="4"/>
          <w:bottom w:val="single" w:color="BDC3C7" w:sz="4"/>
          <w:right w:val="single" w:color="BDC3C7" w:sz="4"/>
          <w:insideH w:val="none"/>
          <w:insideV w:val="none"/>
        </w:tblBorders>
      </w:tblPr>
      <w:tblGrid>
        <w:gridCol w:w="9520"/>
      </w:tblGrid>
      <w:tr>
        <w:tc>
          <w:tcPr>
            <w:tcW w:type="dxa" w:w="9520"/>
            <w:shd w:fill="ECF0F1" w:val="clear"/>
            <w:tcMar>
              <w:top w:type="dxa" w:w="130"/>
              <w:left w:type="dxa" w:w="190"/>
              <w:bottom w:type="dxa" w:w="90"/>
              <w:right w:type="dxa" w:w="190"/>
            </w:tcMar>
          </w:tcPr>
          <w:p>
            <w:pPr>
              <w:spacing w:after="80"/>
            </w:pPr>
            <w:r>
              <w:rPr>
                <w:rFonts w:ascii="Exo 2" w:cs="Exo 2" w:eastAsia="Exo 2" w:hAnsi="Exo 2"/>
                <w:b/>
                <w:bCs/>
                <w:color w:val="2C3E50"/>
                <w:sz w:val="20"/>
                <w:szCs w:val="20"/>
              </w:rPr>
              <w:t xml:space="preserve">HOW TO COMPLETE THIS SECTION</w:t>
            </w:r>
          </w:p>
          <w:p>
            <w:pPr>
              <w:spacing w:after="80" w:line="260"/>
            </w:pPr>
            <w:r>
              <w:rPr>
                <w:rFonts w:ascii="Poppins" w:cs="Poppins" w:eastAsia="Poppins" w:hAnsi="Poppins"/>
                <w:color w:val="1A1A1A"/>
                <w:sz w:val="19"/>
                <w:szCs w:val="19"/>
              </w:rPr>
              <w:t xml:space="preserve">Open with your why: one or two sentences on what AI adoption is in service of in your setting, such as teaching, workload or inclusion, before any rule appears. A good why is yours, not generic; the example given reflects a pedagogy first, technology second position.</w:t>
            </w:r>
          </w:p>
          <w:p>
            <w:pPr>
              <w:spacing w:after="80" w:line="260"/>
            </w:pPr>
            <w:r>
              <w:rPr>
                <w:rFonts w:ascii="Poppins" w:cs="Poppins" w:eastAsia="Poppins" w:hAnsi="Poppins"/>
                <w:color w:val="1A1A1A"/>
                <w:sz w:val="19"/>
                <w:szCs w:val="19"/>
              </w:rPr>
              <w:t xml:space="preserve">Insert your organisation name wherever the placeholder appears; it recurs throughout. Remove any framework that genuinely does not apply and add local ones.</w:t>
            </w:r>
          </w:p>
          <w:p>
            <w:pPr>
              <w:spacing w:after="40" w:line="260"/>
            </w:pPr>
            <w:r>
              <w:rPr>
                <w:rFonts w:ascii="Poppins" w:cs="Poppins" w:eastAsia="Poppins" w:hAnsi="Poppins"/>
                <w:color w:val="1A1A1A"/>
                <w:sz w:val="19"/>
                <w:szCs w:val="19"/>
              </w:rPr>
              <w:t xml:space="preserve">Pupil use is out of scope unless the optional module is switched on and its preconditions are met.</w:t>
            </w:r>
          </w:p>
        </w:tc>
      </w:tr>
    </w:tbl>
    <w:p>
      <w:pPr>
        <w:pStyle w:val="Heading2"/>
        <w:keepNext/>
        <w:spacing w:after="130" w:before="260"/>
      </w:pPr>
      <w:r>
        <w:rPr>
          <w:rFonts w:ascii="Exo 2" w:cs="Exo 2" w:eastAsia="Exo 2" w:hAnsi="Exo 2"/>
          <w:b/>
          <w:bCs/>
          <w:color w:val="2C3E50"/>
          <w:sz w:val="27"/>
          <w:szCs w:val="27"/>
        </w:rPr>
        <w:t xml:space="preserve">2. Who and what this policy covers</w:t>
      </w:r>
    </w:p>
    <w:p>
      <w:pPr>
        <w:spacing w:after="150" w:line="272"/>
      </w:pPr>
      <w:r>
        <w:rPr>
          <w:rFonts w:ascii="Poppins" w:cs="Poppins" w:eastAsia="Poppins" w:hAnsi="Poppins"/>
          <w:color w:val="1A1A1A"/>
          <w:sz w:val="21"/>
          <w:szCs w:val="21"/>
        </w:rPr>
        <w:t xml:space="preserve">In this policy, AI means generative AI tools and any software feature that creates content, or that makes or informs decisions or predictions about people, whether standalone, built into approved software, or reached through a browser. In practice that means chatbots, image and content generators, and AI features inside everyday software. Long-established automation such as spellcheck or predictive text is out of scope unless it does either of those things.</w:t>
      </w:r>
    </w:p>
    <w:p>
      <w:pPr>
        <w:spacing w:after="150" w:line="272"/>
      </w:pPr>
      <w:r>
        <w:rPr>
          <w:rFonts w:ascii="Poppins" w:cs="Poppins" w:eastAsia="Poppins" w:hAnsi="Poppins"/>
          <w:color w:val="1A1A1A"/>
          <w:sz w:val="21"/>
          <w:szCs w:val="21"/>
        </w:rPr>
        <w:t xml:space="preserve">Where AI features inside an established platform are governed by a separate assessment, the exclusion is noted here so the boundary is clear: </w:t>
      </w:r>
      <w:r>
        <w:rPr>
          <w:rFonts w:ascii="Poppins" w:cs="Poppins" w:eastAsia="Poppins" w:hAnsi="Poppins"/>
          <w:b/>
          <w:bCs/>
          <w:color w:val="A04000"/>
          <w:sz w:val="21"/>
          <w:szCs w:val="21"/>
        </w:rPr>
        <w:t xml:space="preserve">[INSERT EXCLUSIONS, e.g. assistant features within the M365 tenant]</w:t>
      </w:r>
      <w:r>
        <w:rPr>
          <w:rFonts w:ascii="Poppins" w:cs="Poppins" w:eastAsia="Poppins" w:hAnsi="Poppins"/>
          <w:color w:val="1A1A1A"/>
          <w:sz w:val="21"/>
          <w:szCs w:val="21"/>
        </w:rPr>
        <w:t xml:space="preserve">. Excluded features are governed by that assessment, not left ungoverned.</w:t>
      </w:r>
    </w:p>
    <w:p>
      <w:pPr>
        <w:spacing w:after="150" w:line="272"/>
      </w:pPr>
      <w:r>
        <w:rPr>
          <w:rFonts w:ascii="Poppins" w:cs="Poppins" w:eastAsia="Poppins" w:hAnsi="Poppins"/>
          <w:b/>
          <w:bCs/>
          <w:color w:val="1A1A1A"/>
          <w:sz w:val="21"/>
          <w:szCs w:val="21"/>
        </w:rPr>
        <w:t xml:space="preserve">By default, pupils are not within the scope of this policy. </w:t>
      </w:r>
      <w:r>
        <w:rPr>
          <w:rFonts w:ascii="Poppins" w:cs="Poppins" w:eastAsia="Poppins" w:hAnsi="Poppins"/>
          <w:color w:val="1A1A1A"/>
          <w:sz w:val="21"/>
          <w:szCs w:val="21"/>
        </w:rPr>
        <w:t xml:space="preserve">In no circumstances may AI be used in a way that undermines the safety or wellbeing of children or adults, the privacy of their data, fairness, the Prevent duty, or the integrity of assessment.</w:t>
      </w:r>
    </w:p>
    <w:tbl>
      <w:tblPr>
        <w:tblW w:type="dxa" w:w="9520"/>
        <w:tblBorders>
          <w:top w:val="single" w:color="BDC3C7" w:sz="4"/>
          <w:left w:val="single" w:color="BDC3C7" w:sz="4"/>
          <w:bottom w:val="single" w:color="BDC3C7" w:sz="4"/>
          <w:right w:val="single" w:color="BDC3C7" w:sz="4"/>
          <w:insideH w:val="none"/>
          <w:insideV w:val="none"/>
        </w:tblBorders>
      </w:tblPr>
      <w:tblGrid>
        <w:gridCol w:w="9520"/>
      </w:tblGrid>
      <w:tr>
        <w:tc>
          <w:tcPr>
            <w:tcW w:type="dxa" w:w="9520"/>
            <w:shd w:fill="FDEBD0" w:val="clear"/>
            <w:tcMar>
              <w:top w:type="dxa" w:w="130"/>
              <w:left w:type="dxa" w:w="190"/>
              <w:bottom w:type="dxa" w:w="90"/>
              <w:right w:type="dxa" w:w="190"/>
            </w:tcMar>
          </w:tcPr>
          <w:p>
            <w:pPr>
              <w:spacing w:after="80"/>
            </w:pPr>
            <w:r>
              <w:rPr>
                <w:rFonts w:ascii="Exo 2" w:cs="Exo 2" w:eastAsia="Exo 2" w:hAnsi="Exo 2"/>
                <w:b/>
                <w:bCs/>
                <w:color w:val="A04000"/>
                <w:sz w:val="20"/>
                <w:szCs w:val="20"/>
              </w:rPr>
              <w:t xml:space="preserve">OPTIONAL MODULE</w:t>
            </w:r>
          </w:p>
          <w:p>
            <w:pPr>
              <w:spacing w:after="40" w:line="260"/>
            </w:pPr>
            <w:r>
              <w:rPr>
                <w:rFonts w:ascii="Poppins" w:cs="Poppins" w:eastAsia="Poppins" w:hAnsi="Poppins"/>
                <w:color w:val="1A1A1A"/>
                <w:sz w:val="19"/>
                <w:szCs w:val="19"/>
              </w:rPr>
              <w:t xml:space="preserve">If pupils are to use AI, complete the pupil-use module at the end and amend the paragraph above. Do not bring pupils into scope until a DPIA and an age-appropriate AI education plan are both in place.</w:t>
            </w:r>
          </w:p>
        </w:tc>
      </w:tr>
    </w:tbl>
    <w:p>
      <w:pPr>
        <w:pStyle w:val="Heading2"/>
        <w:keepNext/>
        <w:spacing w:after="130" w:before="260"/>
      </w:pPr>
      <w:r>
        <w:rPr>
          <w:rFonts w:ascii="Exo 2" w:cs="Exo 2" w:eastAsia="Exo 2" w:hAnsi="Exo 2"/>
          <w:b/>
          <w:bCs/>
          <w:color w:val="2C3E50"/>
          <w:sz w:val="27"/>
          <w:szCs w:val="27"/>
        </w:rPr>
        <w:t xml:space="preserve">3. Roles, responsibilities and oversight</w:t>
      </w:r>
    </w:p>
    <w:p>
      <w:pPr>
        <w:spacing w:after="150" w:line="272"/>
      </w:pPr>
      <w:r>
        <w:rPr>
          <w:rFonts w:ascii="Poppins" w:cs="Poppins" w:eastAsia="Poppins" w:hAnsi="Poppins"/>
          <w:color w:val="1A1A1A"/>
          <w:sz w:val="21"/>
          <w:szCs w:val="21"/>
        </w:rPr>
        <w:t xml:space="preserve">Assign each responsibility below to a named person or group. The list is a menu, not a prescription: delete roles you do not have, merge where one person carries several, and move any orphaned responsibilities to whoever picks them up.</w:t>
      </w:r>
    </w:p>
    <w:tbl>
      <w:tblPr>
        <w:tblW w:type="dxa" w:w="9520"/>
        <w:tblBorders>
          <w:top w:val="single" w:color="BDC3C7" w:sz="4"/>
          <w:left w:val="single" w:color="BDC3C7" w:sz="4"/>
          <w:bottom w:val="single" w:color="BDC3C7" w:sz="4"/>
          <w:right w:val="single" w:color="BDC3C7" w:sz="4"/>
          <w:insideH w:val="single" w:color="BDC3C7" w:sz="4"/>
          <w:insideV w:val="single" w:color="BDC3C7" w:sz="4"/>
        </w:tblBorders>
      </w:tblPr>
      <w:tblGrid>
        <w:gridCol w:w="2300"/>
        <w:gridCol w:w="5220"/>
        <w:gridCol w:w="2000"/>
      </w:tblGrid>
      <w:tr>
        <w:trPr>
          <w:tblHeader/>
        </w:trPr>
        <w:tc>
          <w:tcPr>
            <w:tcW w:type="dxa" w:w="2300"/>
            <w:shd w:fill="2C3E50" w:val="clear"/>
            <w:tcMar>
              <w:top w:type="dxa" w:w="85"/>
              <w:left w:type="dxa" w:w="125"/>
              <w:bottom w:type="dxa" w:w="85"/>
              <w:right w:type="dxa" w:w="125"/>
            </w:tcMar>
          </w:tcPr>
          <w:p>
            <w:pPr>
              <w:spacing w:after="0" w:line="250"/>
            </w:pPr>
            <w:r>
              <w:rPr>
                <w:rFonts w:ascii="Poppins" w:cs="Poppins" w:eastAsia="Poppins" w:hAnsi="Poppins"/>
                <w:b/>
                <w:bCs/>
                <w:color w:val="FFFFFF"/>
                <w:sz w:val="19"/>
                <w:szCs w:val="19"/>
              </w:rPr>
              <w:t xml:space="preserve">Role</w:t>
            </w:r>
          </w:p>
        </w:tc>
        <w:tc>
          <w:tcPr>
            <w:tcW w:type="dxa" w:w="5220"/>
            <w:shd w:fill="2C3E50" w:val="clear"/>
            <w:tcMar>
              <w:top w:type="dxa" w:w="85"/>
              <w:left w:type="dxa" w:w="125"/>
              <w:bottom w:type="dxa" w:w="85"/>
              <w:right w:type="dxa" w:w="125"/>
            </w:tcMar>
          </w:tcPr>
          <w:p>
            <w:pPr>
              <w:spacing w:after="0" w:line="250"/>
            </w:pPr>
            <w:r>
              <w:rPr>
                <w:rFonts w:ascii="Poppins" w:cs="Poppins" w:eastAsia="Poppins" w:hAnsi="Poppins"/>
                <w:b/>
                <w:bCs/>
                <w:color w:val="FFFFFF"/>
                <w:sz w:val="19"/>
                <w:szCs w:val="19"/>
              </w:rPr>
              <w:t xml:space="preserve">What this role owns</w:t>
            </w:r>
          </w:p>
        </w:tc>
        <w:tc>
          <w:tcPr>
            <w:tcW w:type="dxa" w:w="2000"/>
            <w:shd w:fill="2C3E50" w:val="clear"/>
            <w:tcMar>
              <w:top w:type="dxa" w:w="85"/>
              <w:left w:type="dxa" w:w="125"/>
              <w:bottom w:type="dxa" w:w="85"/>
              <w:right w:type="dxa" w:w="125"/>
            </w:tcMar>
          </w:tcPr>
          <w:p>
            <w:pPr>
              <w:spacing w:after="0" w:line="250"/>
            </w:pPr>
            <w:r>
              <w:rPr>
                <w:rFonts w:ascii="Poppins" w:cs="Poppins" w:eastAsia="Poppins" w:hAnsi="Poppins"/>
                <w:b/>
                <w:bCs/>
                <w:color w:val="FFFFFF"/>
                <w:sz w:val="19"/>
                <w:szCs w:val="19"/>
              </w:rPr>
              <w:t xml:space="preserve">Named owner</w:t>
            </w:r>
          </w:p>
        </w:tc>
      </w:tr>
      <w:tr>
        <w:tc>
          <w:tcPr>
            <w:tcW w:type="dxa" w:w="23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Trustees / governing board</w:t>
            </w:r>
          </w:p>
        </w:tc>
        <w:tc>
          <w:tcPr>
            <w:tcW w:type="dxa" w:w="52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Strategic oversight and assurance; ensures AI appears on the organisation’s risk register; receives </w:t>
            </w:r>
            <w:r>
              <w:rPr>
                <w:rFonts w:ascii="Poppins" w:cs="Poppins" w:eastAsia="Poppins" w:hAnsi="Poppins"/>
                <w:b/>
                <w:bCs/>
                <w:color w:val="A04000"/>
                <w:sz w:val="19"/>
                <w:szCs w:val="19"/>
              </w:rPr>
              <w:t xml:space="preserve">[INSERT REPORTING CYCLE, e.g. termly]</w:t>
            </w:r>
            <w:r>
              <w:rPr>
                <w:rFonts w:ascii="Poppins" w:cs="Poppins" w:eastAsia="Poppins" w:hAnsi="Poppins"/>
                <w:color w:val="1A1A1A"/>
                <w:sz w:val="19"/>
                <w:szCs w:val="19"/>
              </w:rPr>
              <w:t xml:space="preserve"> reporting covering adoption, incidents, breaches and changes to the approved list.</w:t>
            </w:r>
          </w:p>
        </w:tc>
        <w:tc>
          <w:tcPr>
            <w:tcW w:type="dxa" w:w="200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w:t>
            </w:r>
          </w:p>
        </w:tc>
      </w:tr>
      <w:tr>
        <w:tc>
          <w:tcPr>
            <w:tcW w:type="dxa" w:w="23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Senior leadership</w:t>
            </w:r>
          </w:p>
        </w:tc>
        <w:tc>
          <w:tcPr>
            <w:tcW w:type="dxa" w:w="52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Approves this policy and material changes; approves tool additions where named as approver under section 4.2; commissions the periodic AI risk review.</w:t>
            </w:r>
          </w:p>
        </w:tc>
        <w:tc>
          <w:tcPr>
            <w:tcW w:type="dxa" w:w="200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w:t>
            </w:r>
          </w:p>
        </w:tc>
      </w:tr>
      <w:tr>
        <w:tc>
          <w:tcPr>
            <w:tcW w:type="dxa" w:w="23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AI / digital lead</w:t>
            </w:r>
          </w:p>
        </w:tc>
        <w:tc>
          <w:tcPr>
            <w:tcW w:type="dxa" w:w="52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Owns the approved list and approval gate; keeps this policy and staff guidance current; first contact for queries.</w:t>
            </w:r>
          </w:p>
        </w:tc>
        <w:tc>
          <w:tcPr>
            <w:tcW w:type="dxa" w:w="200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w:t>
            </w:r>
          </w:p>
        </w:tc>
      </w:tr>
      <w:tr>
        <w:tc>
          <w:tcPr>
            <w:tcW w:type="dxa" w:w="23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Data protection officer / lead</w:t>
            </w:r>
          </w:p>
        </w:tc>
        <w:tc>
          <w:tcPr>
            <w:tcW w:type="dxa" w:w="52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Coordinates impact assessments; advises on lawful basis and processing agreements; receives reports of data entered in error.</w:t>
            </w:r>
          </w:p>
        </w:tc>
        <w:tc>
          <w:tcPr>
            <w:tcW w:type="dxa" w:w="200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w:t>
            </w:r>
          </w:p>
        </w:tc>
      </w:tr>
      <w:tr>
        <w:tc>
          <w:tcPr>
            <w:tcW w:type="dxa" w:w="23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Designated safeguarding lead</w:t>
            </w:r>
          </w:p>
        </w:tc>
        <w:tc>
          <w:tcPr>
            <w:tcW w:type="dxa" w:w="52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Receives safeguarding and Prevent concerns involving AI; advises on safeguarding implications of proposed uses.</w:t>
            </w:r>
          </w:p>
        </w:tc>
        <w:tc>
          <w:tcPr>
            <w:tcW w:type="dxa" w:w="200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w:t>
            </w:r>
          </w:p>
        </w:tc>
      </w:tr>
      <w:tr>
        <w:tc>
          <w:tcPr>
            <w:tcW w:type="dxa" w:w="23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Filtering and monitoring lead</w:t>
            </w:r>
          </w:p>
        </w:tc>
        <w:tc>
          <w:tcPr>
            <w:tcW w:type="dxa" w:w="52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Senior named owner of filtering and monitoring arrangements (section 12).</w:t>
            </w:r>
          </w:p>
        </w:tc>
        <w:tc>
          <w:tcPr>
            <w:tcW w:type="dxa" w:w="200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w:t>
            </w:r>
          </w:p>
        </w:tc>
      </w:tr>
      <w:tr>
        <w:tc>
          <w:tcPr>
            <w:tcW w:type="dxa" w:w="23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IT / network lead</w:t>
            </w:r>
          </w:p>
        </w:tc>
        <w:tc>
          <w:tcPr>
            <w:tcW w:type="dxa" w:w="52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Operates access, security, filtering and monitoring controls; blocks unapproved services; includes AI in cyber reviews.</w:t>
            </w:r>
          </w:p>
        </w:tc>
        <w:tc>
          <w:tcPr>
            <w:tcW w:type="dxa" w:w="200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w:t>
            </w:r>
          </w:p>
        </w:tc>
      </w:tr>
      <w:tr>
        <w:tc>
          <w:tcPr>
            <w:tcW w:type="dxa" w:w="23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Headteachers / phase leaders</w:t>
            </w:r>
          </w:p>
        </w:tc>
        <w:tc>
          <w:tcPr>
            <w:tcW w:type="dxa" w:w="52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Accountable for AI use in their setting; ensure staff are trained; model human-led use.</w:t>
            </w:r>
          </w:p>
        </w:tc>
        <w:tc>
          <w:tcPr>
            <w:tcW w:type="dxa" w:w="200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w:t>
            </w:r>
          </w:p>
        </w:tc>
      </w:tr>
      <w:tr>
        <w:tc>
          <w:tcPr>
            <w:tcW w:type="dxa" w:w="23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Subject / curriculum leads</w:t>
            </w:r>
          </w:p>
        </w:tc>
        <w:tc>
          <w:tcPr>
            <w:tcW w:type="dxa" w:w="52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Advise on subject-appropriate use, including assessment integrity.</w:t>
            </w:r>
          </w:p>
        </w:tc>
        <w:tc>
          <w:tcPr>
            <w:tcW w:type="dxa" w:w="200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w:t>
            </w:r>
          </w:p>
        </w:tc>
      </w:tr>
      <w:tr>
        <w:tc>
          <w:tcPr>
            <w:tcW w:type="dxa" w:w="23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All staff</w:t>
            </w:r>
          </w:p>
        </w:tc>
        <w:tc>
          <w:tcPr>
            <w:tcW w:type="dxa" w:w="52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Use only approved tools through organisation accounts; follow sections 5 to 8; report concerns promptly.</w:t>
            </w:r>
          </w:p>
        </w:tc>
        <w:tc>
          <w:tcPr>
            <w:tcW w:type="dxa" w:w="20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Everyone in scope</w:t>
            </w:r>
          </w:p>
        </w:tc>
      </w:tr>
    </w:tbl>
    <w:p>
      <w:pPr>
        <w:spacing w:after="110"/>
      </w:pPr>
    </w:p>
    <w:tbl>
      <w:tblPr>
        <w:tblW w:type="dxa" w:w="9520"/>
        <w:tblBorders>
          <w:top w:val="single" w:color="BDC3C7" w:sz="4"/>
          <w:left w:val="single" w:color="BDC3C7" w:sz="4"/>
          <w:bottom w:val="single" w:color="BDC3C7" w:sz="4"/>
          <w:right w:val="single" w:color="BDC3C7" w:sz="4"/>
          <w:insideH w:val="none"/>
          <w:insideV w:val="none"/>
        </w:tblBorders>
      </w:tblPr>
      <w:tblGrid>
        <w:gridCol w:w="9520"/>
      </w:tblGrid>
      <w:tr>
        <w:tc>
          <w:tcPr>
            <w:tcW w:type="dxa" w:w="9520"/>
            <w:shd w:fill="ECF0F1" w:val="clear"/>
            <w:tcMar>
              <w:top w:type="dxa" w:w="130"/>
              <w:left w:type="dxa" w:w="190"/>
              <w:bottom w:type="dxa" w:w="90"/>
              <w:right w:type="dxa" w:w="190"/>
            </w:tcMar>
          </w:tcPr>
          <w:p>
            <w:pPr>
              <w:spacing w:after="80"/>
            </w:pPr>
            <w:r>
              <w:rPr>
                <w:rFonts w:ascii="Exo 2" w:cs="Exo 2" w:eastAsia="Exo 2" w:hAnsi="Exo 2"/>
                <w:b/>
                <w:bCs/>
                <w:color w:val="2C3E50"/>
                <w:sz w:val="20"/>
                <w:szCs w:val="20"/>
              </w:rPr>
              <w:t xml:space="preserve">HOW TO COMPLETE THIS SECTION</w:t>
            </w:r>
          </w:p>
          <w:p>
            <w:pPr>
              <w:spacing w:after="40" w:line="260"/>
            </w:pPr>
            <w:r>
              <w:rPr>
                <w:rFonts w:ascii="Poppins" w:cs="Poppins" w:eastAsia="Poppins" w:hAnsi="Poppins"/>
                <w:color w:val="1A1A1A"/>
                <w:sz w:val="19"/>
                <w:szCs w:val="19"/>
              </w:rPr>
              <w:t xml:space="preserve">An early-journey setting may collapse several roles into one or two people; a larger trust may split them further. Every responsibility in the middle column must land somewhere.</w:t>
            </w:r>
          </w:p>
        </w:tc>
      </w:tr>
    </w:tbl>
    <w:p>
      <w:pPr>
        <w:pStyle w:val="Heading2"/>
        <w:keepNext/>
        <w:spacing w:after="130" w:before="260"/>
      </w:pPr>
      <w:r>
        <w:rPr>
          <w:rFonts w:ascii="Exo 2" w:cs="Exo 2" w:eastAsia="Exo 2" w:hAnsi="Exo 2"/>
          <w:b/>
          <w:bCs/>
          <w:color w:val="2C3E50"/>
          <w:sz w:val="27"/>
          <w:szCs w:val="27"/>
        </w:rPr>
        <w:t xml:space="preserve">4. Approved AI tools and how tools are approved</w:t>
      </w:r>
    </w:p>
    <w:p>
      <w:pPr>
        <w:spacing w:after="150" w:line="272"/>
      </w:pPr>
      <w:r>
        <w:rPr>
          <w:rFonts w:ascii="Poppins" w:cs="Poppins" w:eastAsia="Poppins" w:hAnsi="Poppins"/>
          <w:color w:val="1A1A1A"/>
          <w:sz w:val="21"/>
          <w:szCs w:val="21"/>
        </w:rPr>
        <w:t xml:space="preserve">Staff may use AI for work only through tools the organisation has approved, and only through organisation-provided accounts. Personal accounts must not be used for work, whatever the tool.</w:t>
      </w:r>
    </w:p>
    <w:p>
      <w:pPr>
        <w:pStyle w:val="Heading3"/>
        <w:keepNext/>
        <w:spacing w:after="100" w:before="190"/>
      </w:pPr>
      <w:r>
        <w:rPr>
          <w:rFonts w:ascii="Exo 2" w:cs="Exo 2" w:eastAsia="Exo 2" w:hAnsi="Exo 2"/>
          <w:b/>
          <w:bCs/>
          <w:color w:val="34495E"/>
          <w:sz w:val="23"/>
          <w:szCs w:val="23"/>
        </w:rPr>
        <w:t xml:space="preserve">4.1 The approved list</w:t>
      </w:r>
    </w:p>
    <w:tbl>
      <w:tblPr>
        <w:tblW w:type="dxa" w:w="9520"/>
        <w:tblBorders>
          <w:top w:val="single" w:color="BDC3C7" w:sz="4"/>
          <w:left w:val="single" w:color="BDC3C7" w:sz="4"/>
          <w:bottom w:val="single" w:color="BDC3C7" w:sz="4"/>
          <w:right w:val="single" w:color="BDC3C7" w:sz="4"/>
          <w:insideH w:val="single" w:color="BDC3C7" w:sz="4"/>
          <w:insideV w:val="single" w:color="BDC3C7" w:sz="4"/>
        </w:tblBorders>
      </w:tblPr>
      <w:tblGrid>
        <w:gridCol w:w="3200"/>
        <w:gridCol w:w="6320"/>
      </w:tblGrid>
      <w:tr>
        <w:trPr>
          <w:tblHeader/>
        </w:trPr>
        <w:tc>
          <w:tcPr>
            <w:tcW w:type="dxa" w:w="3200"/>
            <w:shd w:fill="2C3E50" w:val="clear"/>
            <w:tcMar>
              <w:top w:type="dxa" w:w="85"/>
              <w:left w:type="dxa" w:w="125"/>
              <w:bottom w:type="dxa" w:w="85"/>
              <w:right w:type="dxa" w:w="125"/>
            </w:tcMar>
          </w:tcPr>
          <w:p>
            <w:pPr>
              <w:spacing w:after="0" w:line="250"/>
            </w:pPr>
            <w:r>
              <w:rPr>
                <w:rFonts w:ascii="Poppins" w:cs="Poppins" w:eastAsia="Poppins" w:hAnsi="Poppins"/>
                <w:b/>
                <w:bCs/>
                <w:color w:val="FFFFFF"/>
                <w:sz w:val="19"/>
                <w:szCs w:val="19"/>
              </w:rPr>
              <w:t xml:space="preserve">Tool</w:t>
            </w:r>
          </w:p>
        </w:tc>
        <w:tc>
          <w:tcPr>
            <w:tcW w:type="dxa" w:w="6320"/>
            <w:shd w:fill="2C3E50" w:val="clear"/>
            <w:tcMar>
              <w:top w:type="dxa" w:w="85"/>
              <w:left w:type="dxa" w:w="125"/>
              <w:bottom w:type="dxa" w:w="85"/>
              <w:right w:type="dxa" w:w="125"/>
            </w:tcMar>
          </w:tcPr>
          <w:p>
            <w:pPr>
              <w:spacing w:after="0" w:line="250"/>
            </w:pPr>
            <w:r>
              <w:rPr>
                <w:rFonts w:ascii="Poppins" w:cs="Poppins" w:eastAsia="Poppins" w:hAnsi="Poppins"/>
                <w:b/>
                <w:bCs/>
                <w:color w:val="FFFFFF"/>
                <w:sz w:val="19"/>
                <w:szCs w:val="19"/>
              </w:rPr>
              <w:t xml:space="preserve">What it is approved for</w:t>
            </w:r>
          </w:p>
        </w:tc>
      </w:tr>
      <w:tr>
        <w:tc>
          <w:tcPr>
            <w:tcW w:type="dxa" w:w="320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 APPROVED TOOL]</w:t>
            </w:r>
          </w:p>
        </w:tc>
        <w:tc>
          <w:tcPr>
            <w:tcW w:type="dxa" w:w="632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 PERMITTED USES, e.g. drafting, summarising and idea generation]</w:t>
            </w:r>
          </w:p>
        </w:tc>
      </w:tr>
      <w:tr>
        <w:tc>
          <w:tcPr>
            <w:tcW w:type="dxa" w:w="320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 APPROVED TOOL]</w:t>
            </w:r>
          </w:p>
        </w:tc>
        <w:tc>
          <w:tcPr>
            <w:tcW w:type="dxa" w:w="632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 PERMITTED USES]</w:t>
            </w:r>
          </w:p>
        </w:tc>
      </w:tr>
    </w:tbl>
    <w:p>
      <w:pPr>
        <w:spacing w:after="110"/>
      </w:pPr>
    </w:p>
    <w:p>
      <w:pPr>
        <w:spacing w:after="150" w:line="272"/>
      </w:pPr>
      <w:r>
        <w:rPr>
          <w:rFonts w:ascii="Poppins" w:cs="Poppins" w:eastAsia="Poppins" w:hAnsi="Poppins"/>
          <w:b/>
          <w:bCs/>
          <w:color w:val="1A1A1A"/>
          <w:sz w:val="21"/>
          <w:szCs w:val="21"/>
        </w:rPr>
        <w:t xml:space="preserve">Any AI tool or service not named above, in section 4a, or excluded under section 2 is not approved and must not be used for work.</w:t>
      </w:r>
      <w:r>
        <w:rPr>
          <w:rFonts w:ascii="Poppins" w:cs="Poppins" w:eastAsia="Poppins" w:hAnsi="Poppins"/>
          <w:color w:val="1A1A1A"/>
          <w:sz w:val="21"/>
          <w:szCs w:val="21"/>
        </w:rPr>
        <w:t xml:space="preserve"> This includes public consumer chatbots and anything reached through a personal login. A new AI feature appearing inside an already-approved product is not approved by default; it goes back through the gate at section 4.2 before use.</w:t>
      </w:r>
    </w:p>
    <w:tbl>
      <w:tblPr>
        <w:tblW w:type="dxa" w:w="9520"/>
        <w:tblBorders>
          <w:top w:val="single" w:color="BDC3C7" w:sz="4"/>
          <w:left w:val="single" w:color="BDC3C7" w:sz="4"/>
          <w:bottom w:val="single" w:color="BDC3C7" w:sz="4"/>
          <w:right w:val="single" w:color="BDC3C7" w:sz="4"/>
          <w:insideH w:val="none"/>
          <w:insideV w:val="none"/>
        </w:tblBorders>
      </w:tblPr>
      <w:tblGrid>
        <w:gridCol w:w="9520"/>
      </w:tblGrid>
      <w:tr>
        <w:tc>
          <w:tcPr>
            <w:tcW w:type="dxa" w:w="9520"/>
            <w:shd w:fill="ECF0F1" w:val="clear"/>
            <w:tcMar>
              <w:top w:type="dxa" w:w="130"/>
              <w:left w:type="dxa" w:w="190"/>
              <w:bottom w:type="dxa" w:w="90"/>
              <w:right w:type="dxa" w:w="190"/>
            </w:tcMar>
          </w:tcPr>
          <w:p>
            <w:pPr>
              <w:spacing w:after="80"/>
            </w:pPr>
            <w:r>
              <w:rPr>
                <w:rFonts w:ascii="Exo 2" w:cs="Exo 2" w:eastAsia="Exo 2" w:hAnsi="Exo 2"/>
                <w:b/>
                <w:bCs/>
                <w:color w:val="2C3E50"/>
                <w:sz w:val="20"/>
                <w:szCs w:val="20"/>
              </w:rPr>
              <w:t xml:space="preserve">HOW TO COMPLETE THIS SECTION</w:t>
            </w:r>
          </w:p>
          <w:p>
            <w:pPr>
              <w:spacing w:after="40" w:line="260"/>
            </w:pPr>
            <w:r>
              <w:rPr>
                <w:rFonts w:ascii="Poppins" w:cs="Poppins" w:eastAsia="Poppins" w:hAnsi="Poppins"/>
                <w:color w:val="1A1A1A"/>
                <w:sz w:val="19"/>
                <w:szCs w:val="19"/>
              </w:rPr>
              <w:t xml:space="preserve">List only tools you have assessed, and be precise about the approved use; loose catch-all approval is the weakness auditors find most often. If nothing is approved yet, say so and state that AI use is not permitted until a tool clears the gate; that is a defensible position.</w:t>
            </w:r>
          </w:p>
        </w:tc>
      </w:tr>
    </w:tbl>
    <w:p>
      <w:pPr>
        <w:pStyle w:val="Heading3"/>
        <w:keepNext/>
        <w:spacing w:after="100" w:before="190"/>
      </w:pPr>
      <w:r>
        <w:rPr>
          <w:rFonts w:ascii="Exo 2" w:cs="Exo 2" w:eastAsia="Exo 2" w:hAnsi="Exo 2"/>
          <w:b/>
          <w:bCs/>
          <w:color w:val="34495E"/>
          <w:sz w:val="23"/>
          <w:szCs w:val="23"/>
        </w:rPr>
        <w:t xml:space="preserve">4.2 How a tool gets onto the list</w:t>
      </w:r>
    </w:p>
    <w:p>
      <w:pPr>
        <w:spacing w:after="150" w:line="272"/>
      </w:pPr>
      <w:r>
        <w:rPr>
          <w:rFonts w:ascii="Poppins" w:cs="Poppins" w:eastAsia="Poppins" w:hAnsi="Poppins"/>
          <w:color w:val="1A1A1A"/>
          <w:sz w:val="21"/>
          <w:szCs w:val="21"/>
        </w:rPr>
        <w:t xml:space="preserve">The </w:t>
      </w:r>
      <w:r>
        <w:rPr>
          <w:rFonts w:ascii="Poppins" w:cs="Poppins" w:eastAsia="Poppins" w:hAnsi="Poppins"/>
          <w:b/>
          <w:bCs/>
          <w:color w:val="A04000"/>
          <w:sz w:val="21"/>
          <w:szCs w:val="21"/>
        </w:rPr>
        <w:t xml:space="preserve">[INSERT ROLE THAT OWNS THE APPROVED-TOOLS LIST, e.g. AI / digital lead]</w:t>
      </w:r>
      <w:r>
        <w:rPr>
          <w:rFonts w:ascii="Poppins" w:cs="Poppins" w:eastAsia="Poppins" w:hAnsi="Poppins"/>
          <w:color w:val="1A1A1A"/>
          <w:sz w:val="21"/>
          <w:szCs w:val="21"/>
        </w:rPr>
        <w:t xml:space="preserve"> is responsible for the approved list. A tool joins it only once each of the following checks has been completed and recorded:</w:t>
      </w:r>
    </w:p>
    <w:p>
      <w:pPr>
        <w:pStyle w:val="ListParagraph"/>
        <w:numPr>
          <w:ilvl w:val="0"/>
          <w:numId w:val="3"/>
        </w:numPr>
        <w:spacing w:after="90" w:line="272"/>
      </w:pPr>
      <w:r>
        <w:rPr>
          <w:rFonts w:ascii="Poppins" w:cs="Poppins" w:eastAsia="Poppins" w:hAnsi="Poppins"/>
          <w:color w:val="1A1A1A"/>
          <w:sz w:val="21"/>
          <w:szCs w:val="21"/>
        </w:rPr>
        <w:t xml:space="preserve">checked against the DfE generative AI product safety standards (January 2026), point by point;</w:t>
      </w:r>
    </w:p>
    <w:p>
      <w:pPr>
        <w:pStyle w:val="ListParagraph"/>
        <w:numPr>
          <w:ilvl w:val="0"/>
          <w:numId w:val="3"/>
        </w:numPr>
        <w:spacing w:after="90" w:line="272"/>
      </w:pPr>
      <w:r>
        <w:rPr>
          <w:rFonts w:ascii="Poppins" w:cs="Poppins" w:eastAsia="Poppins" w:hAnsi="Poppins"/>
          <w:color w:val="1A1A1A"/>
          <w:sz w:val="21"/>
          <w:szCs w:val="21"/>
        </w:rPr>
        <w:t xml:space="preserve">subjected to an impact assessment where it could process personal data, led by the data protection lead (section 10);</w:t>
      </w:r>
    </w:p>
    <w:p>
      <w:pPr>
        <w:pStyle w:val="ListParagraph"/>
        <w:numPr>
          <w:ilvl w:val="0"/>
          <w:numId w:val="3"/>
        </w:numPr>
        <w:spacing w:after="90" w:line="272"/>
      </w:pPr>
      <w:r>
        <w:rPr>
          <w:rFonts w:ascii="Poppins" w:cs="Poppins" w:eastAsia="Poppins" w:hAnsi="Poppins"/>
          <w:color w:val="1A1A1A"/>
          <w:sz w:val="21"/>
          <w:szCs w:val="21"/>
        </w:rPr>
        <w:t xml:space="preserve">confirmed as covered by an adequate data processing agreement setting out the lawful basis, safeguards for data leaving the UK, retention, sub-processor arrangements and notice of changes, breach notification, and whether data trains the provider’s models;</w:t>
      </w:r>
    </w:p>
    <w:p>
      <w:pPr>
        <w:pStyle w:val="ListParagraph"/>
        <w:numPr>
          <w:ilvl w:val="0"/>
          <w:numId w:val="3"/>
        </w:numPr>
        <w:spacing w:after="90" w:line="272"/>
      </w:pPr>
      <w:r>
        <w:rPr>
          <w:rFonts w:ascii="Poppins" w:cs="Poppins" w:eastAsia="Poppins" w:hAnsi="Poppins"/>
          <w:color w:val="1A1A1A"/>
          <w:sz w:val="21"/>
          <w:szCs w:val="21"/>
        </w:rPr>
        <w:t xml:space="preserve">confirmed on ownership and permitted use of the tool’s outputs under its terms (section 6.5);</w:t>
      </w:r>
    </w:p>
    <w:p>
      <w:pPr>
        <w:pStyle w:val="ListParagraph"/>
        <w:numPr>
          <w:ilvl w:val="0"/>
          <w:numId w:val="3"/>
        </w:numPr>
        <w:spacing w:after="90" w:line="272"/>
      </w:pPr>
      <w:r>
        <w:rPr>
          <w:rFonts w:ascii="Poppins" w:cs="Poppins" w:eastAsia="Poppins" w:hAnsi="Poppins"/>
          <w:color w:val="1A1A1A"/>
          <w:sz w:val="21"/>
          <w:szCs w:val="21"/>
        </w:rPr>
        <w:t xml:space="preserve">checked for value for money and procurement propriety in line with </w:t>
      </w:r>
      <w:r>
        <w:rPr>
          <w:rFonts w:ascii="Poppins" w:cs="Poppins" w:eastAsia="Poppins" w:hAnsi="Poppins"/>
          <w:b/>
          <w:bCs/>
          <w:color w:val="A04000"/>
          <w:sz w:val="21"/>
          <w:szCs w:val="21"/>
        </w:rPr>
        <w:t xml:space="preserve">[INSERT THE FINANCIAL GOVERNANCE FRAMEWORK THAT APPLIES, e.g. the Academy Trust Handbook for a trust; the local authority’s scheme for financing schools and the SFVS for a maintained school; the framework applying to a college corporation]</w:t>
      </w:r>
      <w:r>
        <w:rPr>
          <w:rFonts w:ascii="Poppins" w:cs="Poppins" w:eastAsia="Poppins" w:hAnsi="Poppins"/>
          <w:color w:val="1A1A1A"/>
          <w:sz w:val="21"/>
          <w:szCs w:val="21"/>
        </w:rPr>
        <w:t xml:space="preserve">, with the check recorded;</w:t>
      </w:r>
    </w:p>
    <w:p>
      <w:pPr>
        <w:pStyle w:val="ListParagraph"/>
        <w:numPr>
          <w:ilvl w:val="0"/>
          <w:numId w:val="3"/>
        </w:numPr>
        <w:spacing w:after="90" w:line="272"/>
      </w:pPr>
      <w:r>
        <w:rPr>
          <w:rFonts w:ascii="Poppins" w:cs="Poppins" w:eastAsia="Poppins" w:hAnsi="Poppins"/>
          <w:color w:val="1A1A1A"/>
          <w:sz w:val="21"/>
          <w:szCs w:val="21"/>
        </w:rPr>
        <w:t xml:space="preserve">signed off by </w:t>
      </w:r>
      <w:r>
        <w:rPr>
          <w:rFonts w:ascii="Poppins" w:cs="Poppins" w:eastAsia="Poppins" w:hAnsi="Poppins"/>
          <w:b/>
          <w:bCs/>
          <w:color w:val="A04000"/>
          <w:sz w:val="21"/>
          <w:szCs w:val="21"/>
        </w:rPr>
        <w:t xml:space="preserve">[INSERT APPROVER, e.g. senior leadership]</w:t>
      </w:r>
      <w:r>
        <w:rPr>
          <w:rFonts w:ascii="Poppins" w:cs="Poppins" w:eastAsia="Poppins" w:hAnsi="Poppins"/>
          <w:color w:val="1A1A1A"/>
          <w:sz w:val="21"/>
          <w:szCs w:val="21"/>
        </w:rPr>
        <w:t xml:space="preserve">, with this policy and staff guidance updated to match.</w:t>
      </w:r>
    </w:p>
    <w:p>
      <w:pPr>
        <w:spacing w:after="150" w:line="272"/>
      </w:pPr>
      <w:r>
        <w:rPr>
          <w:rFonts w:ascii="Poppins" w:cs="Poppins" w:eastAsia="Poppins" w:hAnsi="Poppins"/>
          <w:color w:val="1A1A1A"/>
          <w:sz w:val="21"/>
          <w:szCs w:val="21"/>
        </w:rPr>
        <w:t xml:space="preserve">Approval is not permanent. Where a tool materially changes, its approval is re-checked; the approved list as a whole is reviewed </w:t>
      </w:r>
      <w:r>
        <w:rPr>
          <w:rFonts w:ascii="Poppins" w:cs="Poppins" w:eastAsia="Poppins" w:hAnsi="Poppins"/>
          <w:b/>
          <w:bCs/>
          <w:color w:val="A04000"/>
          <w:sz w:val="21"/>
          <w:szCs w:val="21"/>
        </w:rPr>
        <w:t xml:space="preserve">[INSERT REVIEW CYCLE, e.g. annually]</w:t>
      </w:r>
      <w:r>
        <w:rPr>
          <w:rFonts w:ascii="Poppins" w:cs="Poppins" w:eastAsia="Poppins" w:hAnsi="Poppins"/>
          <w:color w:val="1A1A1A"/>
          <w:sz w:val="21"/>
          <w:szCs w:val="21"/>
        </w:rPr>
        <w:t xml:space="preserve">. When a tool is withdrawn, its approval lapses or its supplier ceases trading, the organisation retrieves or confirms deletion of its data under the processing agreement before access ends.</w:t>
      </w:r>
    </w:p>
    <w:tbl>
      <w:tblPr>
        <w:tblW w:type="dxa" w:w="9520"/>
        <w:tblBorders>
          <w:top w:val="single" w:color="BDC3C7" w:sz="4"/>
          <w:left w:val="single" w:color="BDC3C7" w:sz="4"/>
          <w:bottom w:val="single" w:color="BDC3C7" w:sz="4"/>
          <w:right w:val="single" w:color="BDC3C7" w:sz="4"/>
          <w:insideH w:val="none"/>
          <w:insideV w:val="none"/>
        </w:tblBorders>
      </w:tblPr>
      <w:tblGrid>
        <w:gridCol w:w="9520"/>
      </w:tblGrid>
      <w:tr>
        <w:tc>
          <w:tcPr>
            <w:tcW w:type="dxa" w:w="9520"/>
            <w:shd w:fill="ECF0F1" w:val="clear"/>
            <w:tcMar>
              <w:top w:type="dxa" w:w="130"/>
              <w:left w:type="dxa" w:w="190"/>
              <w:bottom w:type="dxa" w:w="90"/>
              <w:right w:type="dxa" w:w="190"/>
            </w:tcMar>
          </w:tcPr>
          <w:p>
            <w:pPr>
              <w:spacing w:after="80"/>
            </w:pPr>
            <w:r>
              <w:rPr>
                <w:rFonts w:ascii="Exo 2" w:cs="Exo 2" w:eastAsia="Exo 2" w:hAnsi="Exo 2"/>
                <w:b/>
                <w:bCs/>
                <w:color w:val="2C3E50"/>
                <w:sz w:val="20"/>
                <w:szCs w:val="20"/>
              </w:rPr>
              <w:t xml:space="preserve">HOW TO COMPLETE THIS SECTION</w:t>
            </w:r>
          </w:p>
          <w:p>
            <w:pPr>
              <w:spacing w:after="80" w:line="260"/>
            </w:pPr>
            <w:r>
              <w:rPr>
                <w:rFonts w:ascii="Poppins" w:cs="Poppins" w:eastAsia="Poppins" w:hAnsi="Poppins"/>
                <w:color w:val="1A1A1A"/>
                <w:sz w:val="19"/>
                <w:szCs w:val="19"/>
              </w:rPr>
              <w:t xml:space="preserve">For academy trusts, the check at step 5 includes considering DfE-approved buying routes, which the Academy Trust Handbook requires for purchasing decisions from October 2026.</w:t>
            </w:r>
          </w:p>
          <w:p>
            <w:pPr>
              <w:spacing w:after="40" w:line="260"/>
            </w:pPr>
            <w:r>
              <w:rPr>
                <w:rFonts w:ascii="Poppins" w:cs="Poppins" w:eastAsia="Poppins" w:hAnsi="Poppins"/>
                <w:color w:val="1A1A1A"/>
                <w:sz w:val="19"/>
                <w:szCs w:val="19"/>
              </w:rPr>
              <w:t xml:space="preserve">In a multi-academy trust, state where this gate sits: whether the approved list is held centrally, whether schools can propose or add tools, and how that matches your scheme of delegation.</w:t>
            </w:r>
          </w:p>
        </w:tc>
      </w:tr>
    </w:tbl>
    <w:p>
      <w:pPr>
        <w:pStyle w:val="Heading2"/>
        <w:keepNext/>
        <w:spacing w:after="130" w:before="260"/>
      </w:pPr>
      <w:r>
        <w:rPr>
          <w:rFonts w:ascii="Exo 2" w:cs="Exo 2" w:eastAsia="Exo 2" w:hAnsi="Exo 2"/>
          <w:b/>
          <w:bCs/>
          <w:color w:val="2C3E50"/>
          <w:sz w:val="27"/>
          <w:szCs w:val="27"/>
        </w:rPr>
        <w:t xml:space="preserve">4a. Governed exceptions for single defined purposes (optional)</w:t>
      </w:r>
    </w:p>
    <w:tbl>
      <w:tblPr>
        <w:tblW w:type="dxa" w:w="9520"/>
        <w:tblBorders>
          <w:top w:val="single" w:color="BDC3C7" w:sz="4"/>
          <w:left w:val="single" w:color="BDC3C7" w:sz="4"/>
          <w:bottom w:val="single" w:color="BDC3C7" w:sz="4"/>
          <w:right w:val="single" w:color="BDC3C7" w:sz="4"/>
          <w:insideH w:val="none"/>
          <w:insideV w:val="none"/>
        </w:tblBorders>
      </w:tblPr>
      <w:tblGrid>
        <w:gridCol w:w="9520"/>
      </w:tblGrid>
      <w:tr>
        <w:tc>
          <w:tcPr>
            <w:tcW w:type="dxa" w:w="9520"/>
            <w:shd w:fill="FDEBD0" w:val="clear"/>
            <w:tcMar>
              <w:top w:type="dxa" w:w="130"/>
              <w:left w:type="dxa" w:w="190"/>
              <w:bottom w:type="dxa" w:w="90"/>
              <w:right w:type="dxa" w:w="190"/>
            </w:tcMar>
          </w:tcPr>
          <w:p>
            <w:pPr>
              <w:spacing w:after="80"/>
            </w:pPr>
            <w:r>
              <w:rPr>
                <w:rFonts w:ascii="Exo 2" w:cs="Exo 2" w:eastAsia="Exo 2" w:hAnsi="Exo 2"/>
                <w:b/>
                <w:bCs/>
                <w:color w:val="A04000"/>
                <w:sz w:val="20"/>
                <w:szCs w:val="20"/>
              </w:rPr>
              <w:t xml:space="preserve">OPTIONAL MODULE</w:t>
            </w:r>
          </w:p>
          <w:p>
            <w:pPr>
              <w:spacing w:after="40" w:line="260"/>
            </w:pPr>
            <w:r>
              <w:rPr>
                <w:rFonts w:ascii="Poppins" w:cs="Poppins" w:eastAsia="Poppins" w:hAnsi="Poppins"/>
                <w:color w:val="1A1A1A"/>
                <w:sz w:val="19"/>
                <w:szCs w:val="19"/>
              </w:rPr>
              <w:t xml:space="preserve">Use where you allow a particular tool for one tightly-drawn purpose outside the general list. Copy the block per exception; if you operate none, delete section 4a.</w:t>
            </w:r>
          </w:p>
        </w:tc>
      </w:tr>
    </w:tbl>
    <w:p>
      <w:pPr>
        <w:spacing w:after="110"/>
      </w:pPr>
    </w:p>
    <w:p>
      <w:pPr>
        <w:spacing w:after="150" w:line="272"/>
      </w:pPr>
      <w:r>
        <w:rPr>
          <w:rFonts w:ascii="Poppins" w:cs="Poppins" w:eastAsia="Poppins" w:hAnsi="Poppins"/>
          <w:b/>
          <w:bCs/>
          <w:color w:val="1A1A1A"/>
          <w:sz w:val="21"/>
          <w:szCs w:val="21"/>
        </w:rPr>
        <w:t xml:space="preserve">Governed exception </w:t>
      </w:r>
      <w:r>
        <w:rPr>
          <w:rFonts w:ascii="Poppins" w:cs="Poppins" w:eastAsia="Poppins" w:hAnsi="Poppins"/>
          <w:b/>
          <w:bCs/>
          <w:color w:val="A04000"/>
          <w:sz w:val="21"/>
          <w:szCs w:val="21"/>
        </w:rPr>
        <w:t xml:space="preserve">[INSERT NUMBER]</w:t>
      </w:r>
      <w:r>
        <w:rPr>
          <w:rFonts w:ascii="Poppins" w:cs="Poppins" w:eastAsia="Poppins" w:hAnsi="Poppins"/>
          <w:b/>
          <w:bCs/>
          <w:color w:val="1A1A1A"/>
          <w:sz w:val="21"/>
          <w:szCs w:val="21"/>
        </w:rPr>
        <w:t xml:space="preserve">. </w:t>
      </w:r>
      <w:r>
        <w:rPr>
          <w:rFonts w:ascii="Poppins" w:cs="Poppins" w:eastAsia="Poppins" w:hAnsi="Poppins"/>
          <w:color w:val="1A1A1A"/>
          <w:sz w:val="21"/>
          <w:szCs w:val="21"/>
        </w:rPr>
        <w:t xml:space="preserve">The organisation permits </w:t>
      </w:r>
      <w:r>
        <w:rPr>
          <w:rFonts w:ascii="Poppins" w:cs="Poppins" w:eastAsia="Poppins" w:hAnsi="Poppins"/>
          <w:b/>
          <w:bCs/>
          <w:color w:val="A04000"/>
          <w:sz w:val="21"/>
          <w:szCs w:val="21"/>
        </w:rPr>
        <w:t xml:space="preserve">[INSERT TOOL NAME]</w:t>
      </w:r>
      <w:r>
        <w:rPr>
          <w:rFonts w:ascii="Poppins" w:cs="Poppins" w:eastAsia="Poppins" w:hAnsi="Poppins"/>
          <w:color w:val="1A1A1A"/>
          <w:sz w:val="21"/>
          <w:szCs w:val="21"/>
        </w:rPr>
        <w:t xml:space="preserve"> for one purpose only: </w:t>
      </w:r>
      <w:r>
        <w:rPr>
          <w:rFonts w:ascii="Poppins" w:cs="Poppins" w:eastAsia="Poppins" w:hAnsi="Poppins"/>
          <w:b/>
          <w:bCs/>
          <w:color w:val="A04000"/>
          <w:sz w:val="21"/>
          <w:szCs w:val="21"/>
        </w:rPr>
        <w:t xml:space="preserve">[INSERT THE SINGLE PERMITTED PURPOSE]</w:t>
      </w:r>
      <w:r>
        <w:rPr>
          <w:rFonts w:ascii="Poppins" w:cs="Poppins" w:eastAsia="Poppins" w:hAnsi="Poppins"/>
          <w:color w:val="1A1A1A"/>
          <w:sz w:val="21"/>
          <w:szCs w:val="21"/>
        </w:rPr>
        <w:t xml:space="preserve">. It is available through </w:t>
      </w:r>
      <w:r>
        <w:rPr>
          <w:rFonts w:ascii="Poppins" w:cs="Poppins" w:eastAsia="Poppins" w:hAnsi="Poppins"/>
          <w:b/>
          <w:bCs/>
          <w:color w:val="A04000"/>
          <w:sz w:val="21"/>
          <w:szCs w:val="21"/>
        </w:rPr>
        <w:t xml:space="preserve">[INSERT ACCESS ARRANGEMENT, e.g. an organisation-managed account issued to named individuals]</w:t>
      </w:r>
      <w:r>
        <w:rPr>
          <w:rFonts w:ascii="Poppins" w:cs="Poppins" w:eastAsia="Poppins" w:hAnsi="Poppins"/>
          <w:color w:val="1A1A1A"/>
          <w:sz w:val="21"/>
          <w:szCs w:val="21"/>
        </w:rPr>
        <w:t xml:space="preserve">, and approval does not extend beyond that purpose.</w:t>
      </w:r>
    </w:p>
    <w:p>
      <w:pPr>
        <w:spacing w:after="150" w:line="272"/>
      </w:pPr>
      <w:r>
        <w:rPr>
          <w:rFonts w:ascii="Poppins" w:cs="Poppins" w:eastAsia="Poppins" w:hAnsi="Poppins"/>
          <w:color w:val="1A1A1A"/>
          <w:sz w:val="21"/>
          <w:szCs w:val="21"/>
        </w:rPr>
        <w:t xml:space="preserve">Many such tools open a wider, general-purpose interface. </w:t>
      </w:r>
      <w:r>
        <w:rPr>
          <w:rFonts w:ascii="Poppins" w:cs="Poppins" w:eastAsia="Poppins" w:hAnsi="Poppins"/>
          <w:b/>
          <w:bCs/>
          <w:color w:val="1A1A1A"/>
          <w:sz w:val="21"/>
          <w:szCs w:val="21"/>
        </w:rPr>
        <w:t xml:space="preserve">Holding an account is not permission to use it; doing so breaches this policy. </w:t>
      </w:r>
      <w:r>
        <w:rPr>
          <w:rFonts w:ascii="Poppins" w:cs="Poppins" w:eastAsia="Poppins" w:hAnsi="Poppins"/>
          <w:color w:val="1A1A1A"/>
          <w:sz w:val="21"/>
          <w:szCs w:val="21"/>
        </w:rPr>
        <w:t xml:space="preserve">Sections 6 to 8 apply in full.</w:t>
      </w:r>
    </w:p>
    <w:p>
      <w:pPr>
        <w:spacing w:after="150" w:line="272"/>
      </w:pPr>
      <w:r>
        <w:rPr>
          <w:rFonts w:ascii="Poppins" w:cs="Poppins" w:eastAsia="Poppins" w:hAnsi="Poppins"/>
          <w:color w:val="1A1A1A"/>
          <w:sz w:val="21"/>
          <w:szCs w:val="21"/>
        </w:rPr>
        <w:t xml:space="preserve">Anyone granted access first completes </w:t>
      </w:r>
      <w:r>
        <w:rPr>
          <w:rFonts w:ascii="Poppins" w:cs="Poppins" w:eastAsia="Poppins" w:hAnsi="Poppins"/>
          <w:b/>
          <w:bCs/>
          <w:color w:val="A04000"/>
          <w:sz w:val="21"/>
          <w:szCs w:val="21"/>
        </w:rPr>
        <w:t xml:space="preserve">[INSERT REQUIRED TRAINING]</w:t>
      </w:r>
      <w:r>
        <w:rPr>
          <w:rFonts w:ascii="Poppins" w:cs="Poppins" w:eastAsia="Poppins" w:hAnsi="Poppins"/>
          <w:color w:val="1A1A1A"/>
          <w:sz w:val="21"/>
          <w:szCs w:val="21"/>
        </w:rPr>
        <w:t xml:space="preserve"> and confirms in writing that they understand the single permitted purpose. The exception is conditional on an impact assessment where personal data could be processed, a data processing agreement, and use being kept under review against the permitted purpose by </w:t>
      </w:r>
      <w:r>
        <w:rPr>
          <w:rFonts w:ascii="Poppins" w:cs="Poppins" w:eastAsia="Poppins" w:hAnsi="Poppins"/>
          <w:b/>
          <w:bCs/>
          <w:color w:val="A04000"/>
          <w:sz w:val="21"/>
          <w:szCs w:val="21"/>
        </w:rPr>
        <w:t xml:space="preserve">[INSERT REVIEWER]</w:t>
      </w:r>
      <w:r>
        <w:rPr>
          <w:rFonts w:ascii="Poppins" w:cs="Poppins" w:eastAsia="Poppins" w:hAnsi="Poppins"/>
          <w:color w:val="1A1A1A"/>
          <w:sz w:val="21"/>
          <w:szCs w:val="21"/>
        </w:rPr>
        <w:t xml:space="preserve">.</w:t>
      </w:r>
    </w:p>
    <w:tbl>
      <w:tblPr>
        <w:tblW w:type="dxa" w:w="9520"/>
        <w:tblBorders>
          <w:top w:val="single" w:color="BDC3C7" w:sz="4"/>
          <w:left w:val="single" w:color="BDC3C7" w:sz="4"/>
          <w:bottom w:val="single" w:color="BDC3C7" w:sz="4"/>
          <w:right w:val="single" w:color="BDC3C7" w:sz="4"/>
          <w:insideH w:val="none"/>
          <w:insideV w:val="none"/>
        </w:tblBorders>
      </w:tblPr>
      <w:tblGrid>
        <w:gridCol w:w="9520"/>
      </w:tblGrid>
      <w:tr>
        <w:tc>
          <w:tcPr>
            <w:tcW w:type="dxa" w:w="9520"/>
            <w:shd w:fill="ECF0F1" w:val="clear"/>
            <w:tcMar>
              <w:top w:type="dxa" w:w="130"/>
              <w:left w:type="dxa" w:w="190"/>
              <w:bottom w:type="dxa" w:w="90"/>
              <w:right w:type="dxa" w:w="190"/>
            </w:tcMar>
          </w:tcPr>
          <w:p>
            <w:pPr>
              <w:spacing w:after="80"/>
            </w:pPr>
            <w:r>
              <w:rPr>
                <w:rFonts w:ascii="Exo 2" w:cs="Exo 2" w:eastAsia="Exo 2" w:hAnsi="Exo 2"/>
                <w:b/>
                <w:bCs/>
                <w:color w:val="2C3E50"/>
                <w:sz w:val="20"/>
                <w:szCs w:val="20"/>
              </w:rPr>
              <w:t xml:space="preserve">HOW TO COMPLETE THIS SECTION</w:t>
            </w:r>
          </w:p>
          <w:p>
            <w:pPr>
              <w:spacing w:after="40" w:line="260"/>
            </w:pPr>
            <w:r>
              <w:rPr>
                <w:rFonts w:ascii="Poppins" w:cs="Poppins" w:eastAsia="Poppins" w:hAnsi="Poppins"/>
                <w:color w:val="1A1A1A"/>
                <w:sz w:val="19"/>
                <w:szCs w:val="19"/>
              </w:rPr>
              <w:t xml:space="preserve">The essentials are the same every time: one named purpose, wider access is not permission, a training prerequisite, and active review of use.</w:t>
            </w:r>
          </w:p>
        </w:tc>
      </w:tr>
    </w:tbl>
    <w:p>
      <w:pPr>
        <w:pStyle w:val="Heading2"/>
        <w:keepNext/>
        <w:spacing w:after="130" w:before="260"/>
      </w:pPr>
      <w:r>
        <w:rPr>
          <w:rFonts w:ascii="Exo 2" w:cs="Exo 2" w:eastAsia="Exo 2" w:hAnsi="Exo 2"/>
          <w:b/>
          <w:bCs/>
          <w:color w:val="2C3E50"/>
          <w:sz w:val="27"/>
          <w:szCs w:val="27"/>
        </w:rPr>
        <w:t xml:space="preserve">5. What staff may use AI for</w:t>
      </w:r>
    </w:p>
    <w:p>
      <w:pPr>
        <w:spacing w:after="150" w:line="272"/>
      </w:pPr>
      <w:r>
        <w:rPr>
          <w:rFonts w:ascii="Poppins" w:cs="Poppins" w:eastAsia="Poppins" w:hAnsi="Poppins"/>
          <w:color w:val="1A1A1A"/>
          <w:sz w:val="21"/>
          <w:szCs w:val="21"/>
        </w:rPr>
        <w:t xml:space="preserve">Working within this policy, through approved tools and organisation accounts, staff are encouraged to let AI take some of the load on suitable tasks, for example:</w:t>
      </w:r>
    </w:p>
    <w:p>
      <w:pPr>
        <w:pStyle w:val="ListParagraph"/>
        <w:numPr>
          <w:ilvl w:val="0"/>
          <w:numId w:val="2"/>
        </w:numPr>
        <w:spacing w:after="90" w:line="272"/>
      </w:pPr>
      <w:r>
        <w:rPr>
          <w:rFonts w:ascii="Poppins" w:cs="Poppins" w:eastAsia="Poppins" w:hAnsi="Poppins"/>
          <w:color w:val="1A1A1A"/>
          <w:sz w:val="21"/>
          <w:szCs w:val="21"/>
        </w:rPr>
        <w:t xml:space="preserve">producing a first draft of a plan, resource or message that the member of staff then reviews, shapes and takes responsibility for;</w:t>
      </w:r>
    </w:p>
    <w:p>
      <w:pPr>
        <w:pStyle w:val="ListParagraph"/>
        <w:numPr>
          <w:ilvl w:val="0"/>
          <w:numId w:val="2"/>
        </w:numPr>
        <w:spacing w:after="90" w:line="272"/>
      </w:pPr>
      <w:r>
        <w:rPr>
          <w:rFonts w:ascii="Poppins" w:cs="Poppins" w:eastAsia="Poppins" w:hAnsi="Poppins"/>
          <w:color w:val="1A1A1A"/>
          <w:sz w:val="21"/>
          <w:szCs w:val="21"/>
        </w:rPr>
        <w:t xml:space="preserve">pulling out key points and actions from documents or notes containing nothing that could identify a real person;</w:t>
      </w:r>
    </w:p>
    <w:p>
      <w:pPr>
        <w:pStyle w:val="ListParagraph"/>
        <w:numPr>
          <w:ilvl w:val="0"/>
          <w:numId w:val="2"/>
        </w:numPr>
        <w:spacing w:after="90" w:line="272"/>
      </w:pPr>
      <w:r>
        <w:rPr>
          <w:rFonts w:ascii="Poppins" w:cs="Poppins" w:eastAsia="Poppins" w:hAnsi="Poppins"/>
          <w:color w:val="1A1A1A"/>
          <w:sz w:val="21"/>
          <w:szCs w:val="21"/>
        </w:rPr>
        <w:t xml:space="preserve">exploring a topic or organising thinking, with facts checked against reliable sources before they are relied on;</w:t>
      </w:r>
    </w:p>
    <w:p>
      <w:pPr>
        <w:pStyle w:val="ListParagraph"/>
        <w:numPr>
          <w:ilvl w:val="0"/>
          <w:numId w:val="2"/>
        </w:numPr>
        <w:spacing w:after="90" w:line="272"/>
      </w:pPr>
      <w:r>
        <w:rPr>
          <w:rFonts w:ascii="Poppins" w:cs="Poppins" w:eastAsia="Poppins" w:hAnsi="Poppins"/>
          <w:color w:val="1A1A1A"/>
          <w:sz w:val="21"/>
          <w:szCs w:val="21"/>
        </w:rPr>
        <w:t xml:space="preserve">generating teaching resources, slides or visual materials, checked line by line for subject accuracy, reading level, curriculum fit and accessibility before any pupil or audience sees them;</w:t>
      </w:r>
    </w:p>
    <w:p>
      <w:pPr>
        <w:pStyle w:val="ListParagraph"/>
        <w:numPr>
          <w:ilvl w:val="0"/>
          <w:numId w:val="2"/>
        </w:numPr>
        <w:spacing w:after="90" w:line="272"/>
      </w:pPr>
      <w:r>
        <w:rPr>
          <w:rFonts w:ascii="Poppins" w:cs="Poppins" w:eastAsia="Poppins" w:hAnsi="Poppins"/>
          <w:color w:val="1A1A1A"/>
          <w:sz w:val="21"/>
          <w:szCs w:val="21"/>
        </w:rPr>
        <w:t xml:space="preserve">supporting accessibility and inclusion: as assistive technology for staff, and to produce accessible or adapted materials for pupils, including those with SEND. Pupils’ own use of assistive AI sits under the pupil module.</w:t>
      </w:r>
    </w:p>
    <w:p>
      <w:pPr>
        <w:spacing w:after="150" w:line="272"/>
      </w:pPr>
      <w:r>
        <w:rPr>
          <w:rFonts w:ascii="Poppins" w:cs="Poppins" w:eastAsia="Poppins" w:hAnsi="Poppins"/>
          <w:b/>
          <w:bCs/>
          <w:color w:val="A04000"/>
          <w:sz w:val="21"/>
          <w:szCs w:val="21"/>
        </w:rPr>
        <w:t xml:space="preserve">[INSERT ANY USES PARTICULAR TO YOUR SETTING]</w:t>
      </w:r>
      <w:r>
        <w:rPr>
          <w:rFonts w:ascii="Poppins" w:cs="Poppins" w:eastAsia="Poppins" w:hAnsi="Poppins"/>
          <w:color w:val="1A1A1A"/>
          <w:sz w:val="21"/>
          <w:szCs w:val="21"/>
        </w:rPr>
        <w:t xml:space="preserve">. Every use is subject to the oversight duties in section 8.</w:t>
      </w:r>
    </w:p>
    <w:p>
      <w:pPr>
        <w:pStyle w:val="Heading2"/>
        <w:keepNext/>
        <w:spacing w:after="130" w:before="260"/>
      </w:pPr>
      <w:r>
        <w:rPr>
          <w:rFonts w:ascii="Exo 2" w:cs="Exo 2" w:eastAsia="Exo 2" w:hAnsi="Exo 2"/>
          <w:b/>
          <w:bCs/>
          <w:color w:val="2C3E50"/>
          <w:sz w:val="27"/>
          <w:szCs w:val="27"/>
        </w:rPr>
        <w:t xml:space="preserve">6. What staff must not do</w:t>
      </w:r>
    </w:p>
    <w:p>
      <w:pPr>
        <w:pStyle w:val="Heading3"/>
        <w:keepNext/>
        <w:spacing w:after="100" w:before="190"/>
      </w:pPr>
      <w:r>
        <w:rPr>
          <w:rFonts w:ascii="Exo 2" w:cs="Exo 2" w:eastAsia="Exo 2" w:hAnsi="Exo 2"/>
          <w:b/>
          <w:bCs/>
          <w:color w:val="34495E"/>
          <w:sz w:val="23"/>
          <w:szCs w:val="23"/>
        </w:rPr>
        <w:t xml:space="preserve">6.1 Entering personal or special category data</w:t>
      </w:r>
    </w:p>
    <w:p>
      <w:pPr>
        <w:spacing w:after="150" w:line="272"/>
      </w:pPr>
      <w:r>
        <w:rPr>
          <w:rFonts w:ascii="Poppins" w:cs="Poppins" w:eastAsia="Poppins" w:hAnsi="Poppins"/>
          <w:b/>
          <w:bCs/>
          <w:color w:val="1A1A1A"/>
          <w:sz w:val="21"/>
          <w:szCs w:val="21"/>
        </w:rPr>
        <w:t xml:space="preserve">Do not put information about real, identifiable people into an AI tool. </w:t>
      </w:r>
      <w:r>
        <w:rPr>
          <w:rFonts w:ascii="Poppins" w:cs="Poppins" w:eastAsia="Poppins" w:hAnsi="Poppins"/>
          <w:color w:val="1A1A1A"/>
          <w:sz w:val="21"/>
          <w:szCs w:val="21"/>
        </w:rPr>
        <w:t xml:space="preserve">That means no names or anything that could identify a pupil, colleague, parent or carer, and nothing about anyone’s needs, health, behaviour, home life, safeguarding, employment, pay or legal matters, even with names removed if the person could still be worked out. (In data protection terms: no personal data or special category data.) The only exception is a tool expressly approved under section 4.2 for named personal data processing, backed by an impact assessment and a data processing agreement, the contract governing what the supplier may do with data. Everywhere else the rule is absolute. Entered something by mistake? Tell the </w:t>
      </w:r>
      <w:r>
        <w:rPr>
          <w:rFonts w:ascii="Poppins" w:cs="Poppins" w:eastAsia="Poppins" w:hAnsi="Poppins"/>
          <w:b/>
          <w:bCs/>
          <w:color w:val="A04000"/>
          <w:sz w:val="21"/>
          <w:szCs w:val="21"/>
        </w:rPr>
        <w:t xml:space="preserve">[INSERT DATA PROTECTION OFFICER / LEAD]</w:t>
      </w:r>
      <w:r>
        <w:rPr>
          <w:rFonts w:ascii="Poppins" w:cs="Poppins" w:eastAsia="Poppins" w:hAnsi="Poppins"/>
          <w:color w:val="1A1A1A"/>
          <w:sz w:val="21"/>
          <w:szCs w:val="21"/>
        </w:rPr>
        <w:t xml:space="preserve"> straight away; it is treated as a possible data breach.</w:t>
      </w:r>
    </w:p>
    <w:p>
      <w:pPr>
        <w:pStyle w:val="Heading3"/>
        <w:keepNext/>
        <w:spacing w:after="100" w:before="190"/>
      </w:pPr>
      <w:r>
        <w:rPr>
          <w:rFonts w:ascii="Exo 2" w:cs="Exo 2" w:eastAsia="Exo 2" w:hAnsi="Exo 2"/>
          <w:b/>
          <w:bCs/>
          <w:color w:val="34495E"/>
          <w:sz w:val="23"/>
          <w:szCs w:val="23"/>
        </w:rPr>
        <w:t xml:space="preserve">6.2 Reaching for tools that are not approved</w:t>
      </w:r>
    </w:p>
    <w:p>
      <w:pPr>
        <w:spacing w:after="150" w:line="272"/>
      </w:pPr>
      <w:r>
        <w:rPr>
          <w:rFonts w:ascii="Poppins" w:cs="Poppins" w:eastAsia="Poppins" w:hAnsi="Poppins"/>
          <w:color w:val="1A1A1A"/>
          <w:sz w:val="21"/>
          <w:szCs w:val="21"/>
        </w:rPr>
        <w:t xml:space="preserve">Staff must not use AI tools other than those approved under section 4, and must not try to get round filtering or monitoring to reach a blocked service.</w:t>
      </w:r>
    </w:p>
    <w:p>
      <w:pPr>
        <w:pStyle w:val="Heading3"/>
        <w:keepNext/>
        <w:spacing w:after="100" w:before="190"/>
      </w:pPr>
      <w:r>
        <w:rPr>
          <w:rFonts w:ascii="Exo 2" w:cs="Exo 2" w:eastAsia="Exo 2" w:hAnsi="Exo 2"/>
          <w:b/>
          <w:bCs/>
          <w:color w:val="34495E"/>
          <w:sz w:val="23"/>
          <w:szCs w:val="23"/>
        </w:rPr>
        <w:t xml:space="preserve">6.3 Passing off AI work or breaching assessment rules</w:t>
      </w:r>
    </w:p>
    <w:p>
      <w:pPr>
        <w:spacing w:after="150" w:line="272"/>
      </w:pPr>
      <w:r>
        <w:rPr>
          <w:rFonts w:ascii="Poppins" w:cs="Poppins" w:eastAsia="Poppins" w:hAnsi="Poppins"/>
          <w:color w:val="1A1A1A"/>
          <w:sz w:val="21"/>
          <w:szCs w:val="21"/>
        </w:rPr>
        <w:t xml:space="preserve">Staff must not pass off AI-generated material as their own unaided work where that would mislead, and must not use AI in any way that falls foul of JCQ rules on AI in assessments, which also bar relying on AI as the sole marker of student work. Disclosure of substantial AI drafting is governed by section 8.4.</w:t>
      </w:r>
    </w:p>
    <w:p>
      <w:pPr>
        <w:pStyle w:val="Heading3"/>
        <w:keepNext/>
        <w:spacing w:after="100" w:before="190"/>
      </w:pPr>
      <w:r>
        <w:rPr>
          <w:rFonts w:ascii="Exo 2" w:cs="Exo 2" w:eastAsia="Exo 2" w:hAnsi="Exo 2"/>
          <w:b/>
          <w:bCs/>
          <w:color w:val="34495E"/>
          <w:sz w:val="23"/>
          <w:szCs w:val="23"/>
        </w:rPr>
        <w:t xml:space="preserve">6.4 High-risk uses and decisions about people</w:t>
      </w:r>
    </w:p>
    <w:p>
      <w:pPr>
        <w:spacing w:after="150" w:line="272"/>
      </w:pPr>
      <w:r>
        <w:rPr>
          <w:rFonts w:ascii="Poppins" w:cs="Poppins" w:eastAsia="Poppins" w:hAnsi="Poppins"/>
          <w:b/>
          <w:bCs/>
          <w:color w:val="1A1A1A"/>
          <w:sz w:val="21"/>
          <w:szCs w:val="21"/>
        </w:rPr>
        <w:t xml:space="preserve">AI never takes a decision about a person. </w:t>
      </w:r>
      <w:r>
        <w:rPr>
          <w:rFonts w:ascii="Poppins" w:cs="Poppins" w:eastAsia="Poppins" w:hAnsi="Poppins"/>
          <w:color w:val="1A1A1A"/>
          <w:sz w:val="21"/>
          <w:szCs w:val="21"/>
        </w:rPr>
        <w:t xml:space="preserve">In the areas below, even assistive use is prohibited unless expressly authorised through section 4.2, and a named person makes and owns any decision. AI must not be used to:</w:t>
      </w:r>
    </w:p>
    <w:p>
      <w:pPr>
        <w:pStyle w:val="ListParagraph"/>
        <w:numPr>
          <w:ilvl w:val="0"/>
          <w:numId w:val="2"/>
        </w:numPr>
        <w:spacing w:after="90" w:line="272"/>
      </w:pPr>
      <w:r>
        <w:rPr>
          <w:rFonts w:ascii="Poppins" w:cs="Poppins" w:eastAsia="Poppins" w:hAnsi="Poppins"/>
          <w:color w:val="1A1A1A"/>
          <w:sz w:val="21"/>
          <w:szCs w:val="21"/>
        </w:rPr>
        <w:t xml:space="preserve">screen, sift or score job applicants, or decide or recommend the ending of anyone’s employment or engagement;</w:t>
      </w:r>
    </w:p>
    <w:p>
      <w:pPr>
        <w:pStyle w:val="ListParagraph"/>
        <w:numPr>
          <w:ilvl w:val="0"/>
          <w:numId w:val="2"/>
        </w:numPr>
        <w:spacing w:after="90" w:line="272"/>
      </w:pPr>
      <w:r>
        <w:rPr>
          <w:rFonts w:ascii="Poppins" w:cs="Poppins" w:eastAsia="Poppins" w:hAnsi="Poppins"/>
          <w:color w:val="1A1A1A"/>
          <w:sz w:val="21"/>
          <w:szCs w:val="21"/>
        </w:rPr>
        <w:t xml:space="preserve">reach, or stand behind, decisions to admit, refuse, suspend or exclude a pupil; where use is authorised, at most it may surface background information for a person to weigh;</w:t>
      </w:r>
    </w:p>
    <w:p>
      <w:pPr>
        <w:pStyle w:val="ListParagraph"/>
        <w:numPr>
          <w:ilvl w:val="0"/>
          <w:numId w:val="2"/>
        </w:numPr>
        <w:spacing w:after="90" w:line="272"/>
      </w:pPr>
      <w:r>
        <w:rPr>
          <w:rFonts w:ascii="Poppins" w:cs="Poppins" w:eastAsia="Poppins" w:hAnsi="Poppins"/>
          <w:color w:val="1A1A1A"/>
          <w:sz w:val="21"/>
          <w:szCs w:val="21"/>
        </w:rPr>
        <w:t xml:space="preserve">run or inform grievance, disciplinary, complaint or similar processes affecting pupils, parents or staff;</w:t>
      </w:r>
    </w:p>
    <w:p>
      <w:pPr>
        <w:pStyle w:val="ListParagraph"/>
        <w:numPr>
          <w:ilvl w:val="0"/>
          <w:numId w:val="2"/>
        </w:numPr>
        <w:spacing w:after="90" w:line="272"/>
      </w:pPr>
      <w:r>
        <w:rPr>
          <w:rFonts w:ascii="Poppins" w:cs="Poppins" w:eastAsia="Poppins" w:hAnsi="Poppins"/>
          <w:color w:val="1A1A1A"/>
          <w:sz w:val="21"/>
          <w:szCs w:val="21"/>
        </w:rPr>
        <w:t xml:space="preserve">identify people biometrically, that is, recognising who someone is from their face, voice or body, from images, video or other recordings; if such use were ever authorised through the gate, the Protection of Freedoms Act 2012 requires written parental consent for anyone under 18, and an alternative for those who refuse;</w:t>
      </w:r>
    </w:p>
    <w:p>
      <w:pPr>
        <w:pStyle w:val="ListParagraph"/>
        <w:numPr>
          <w:ilvl w:val="0"/>
          <w:numId w:val="2"/>
        </w:numPr>
        <w:spacing w:after="90" w:line="272"/>
      </w:pPr>
      <w:r>
        <w:rPr>
          <w:rFonts w:ascii="Poppins" w:cs="Poppins" w:eastAsia="Poppins" w:hAnsi="Poppins"/>
          <w:color w:val="1A1A1A"/>
          <w:sz w:val="21"/>
          <w:szCs w:val="21"/>
        </w:rPr>
        <w:t xml:space="preserve">infer or judge the emotional state, mood or character of a pupil, parent or member of staff;</w:t>
      </w:r>
    </w:p>
    <w:p>
      <w:pPr>
        <w:pStyle w:val="ListParagraph"/>
        <w:numPr>
          <w:ilvl w:val="0"/>
          <w:numId w:val="2"/>
        </w:numPr>
        <w:spacing w:after="90" w:line="272"/>
      </w:pPr>
      <w:r>
        <w:rPr>
          <w:rFonts w:ascii="Poppins" w:cs="Poppins" w:eastAsia="Poppins" w:hAnsi="Poppins"/>
          <w:color w:val="1A1A1A"/>
          <w:sz w:val="21"/>
          <w:szCs w:val="21"/>
        </w:rPr>
        <w:t xml:space="preserve">treat the output of an AI cheating or plagiarism detector as proof; even where such a tool is approved, its output is unreliable and only ever one input to a judgement a person makes and owns;</w:t>
      </w:r>
    </w:p>
    <w:p>
      <w:pPr>
        <w:pStyle w:val="ListParagraph"/>
        <w:numPr>
          <w:ilvl w:val="0"/>
          <w:numId w:val="2"/>
        </w:numPr>
        <w:spacing w:after="90" w:line="272"/>
      </w:pPr>
      <w:r>
        <w:rPr>
          <w:rFonts w:ascii="Poppins" w:cs="Poppins" w:eastAsia="Poppins" w:hAnsi="Poppins"/>
          <w:color w:val="1A1A1A"/>
          <w:sz w:val="21"/>
          <w:szCs w:val="21"/>
        </w:rPr>
        <w:t xml:space="preserve">act autonomously on the organisation’s behalf, for example sending communications or executing actions without a person approving each output, unless expressly approved under section 4.2.</w:t>
      </w:r>
    </w:p>
    <w:p>
      <w:pPr>
        <w:spacing w:after="150" w:line="272"/>
      </w:pPr>
      <w:r>
        <w:rPr>
          <w:rFonts w:ascii="Poppins" w:cs="Poppins" w:eastAsia="Poppins" w:hAnsi="Poppins"/>
          <w:color w:val="1A1A1A"/>
          <w:sz w:val="21"/>
          <w:szCs w:val="21"/>
        </w:rPr>
        <w:t xml:space="preserve">Several of these engage the Equality Act 2010 as well as data protection law: AI trained on biased data can discriminate at scale. The legal framework for automated decision-making is at section 7; harmful content, fabricated media and Prevent are at section 9.</w:t>
      </w:r>
    </w:p>
    <w:tbl>
      <w:tblPr>
        <w:tblW w:type="dxa" w:w="9520"/>
        <w:tblBorders>
          <w:top w:val="single" w:color="BDC3C7" w:sz="4"/>
          <w:left w:val="single" w:color="BDC3C7" w:sz="4"/>
          <w:bottom w:val="single" w:color="BDC3C7" w:sz="4"/>
          <w:right w:val="single" w:color="BDC3C7" w:sz="4"/>
          <w:insideH w:val="none"/>
          <w:insideV w:val="none"/>
        </w:tblBorders>
      </w:tblPr>
      <w:tblGrid>
        <w:gridCol w:w="9520"/>
      </w:tblGrid>
      <w:tr>
        <w:tc>
          <w:tcPr>
            <w:tcW w:type="dxa" w:w="9520"/>
            <w:shd w:fill="ECF0F1" w:val="clear"/>
            <w:tcMar>
              <w:top w:type="dxa" w:w="130"/>
              <w:left w:type="dxa" w:w="190"/>
              <w:bottom w:type="dxa" w:w="90"/>
              <w:right w:type="dxa" w:w="190"/>
            </w:tcMar>
          </w:tcPr>
          <w:p>
            <w:pPr>
              <w:spacing w:after="80"/>
            </w:pPr>
            <w:r>
              <w:rPr>
                <w:rFonts w:ascii="Exo 2" w:cs="Exo 2" w:eastAsia="Exo 2" w:hAnsi="Exo 2"/>
                <w:b/>
                <w:bCs/>
                <w:color w:val="2C3E50"/>
                <w:sz w:val="20"/>
                <w:szCs w:val="20"/>
              </w:rPr>
              <w:t xml:space="preserve">HOW TO COMPLETE THIS SECTION</w:t>
            </w:r>
          </w:p>
          <w:p>
            <w:pPr>
              <w:spacing w:after="40" w:line="260"/>
            </w:pPr>
            <w:r>
              <w:rPr>
                <w:rFonts w:ascii="Poppins" w:cs="Poppins" w:eastAsia="Poppins" w:hAnsi="Poppins"/>
                <w:color w:val="1A1A1A"/>
                <w:sz w:val="19"/>
                <w:szCs w:val="19"/>
              </w:rPr>
              <w:t xml:space="preserve">Keep this list as a floor, not a ceiling: add any high-stakes decision particular to your setting, and make clear a named person always decides and is accountable.</w:t>
            </w:r>
          </w:p>
        </w:tc>
      </w:tr>
    </w:tbl>
    <w:p>
      <w:pPr>
        <w:pStyle w:val="Heading3"/>
        <w:keepNext/>
        <w:spacing w:after="100" w:before="190"/>
      </w:pPr>
      <w:r>
        <w:rPr>
          <w:rFonts w:ascii="Exo 2" w:cs="Exo 2" w:eastAsia="Exo 2" w:hAnsi="Exo 2"/>
          <w:b/>
          <w:bCs/>
          <w:color w:val="34495E"/>
          <w:sz w:val="23"/>
          <w:szCs w:val="23"/>
        </w:rPr>
        <w:t xml:space="preserve">6.5 Intellectual property</w:t>
      </w:r>
    </w:p>
    <w:p>
      <w:pPr>
        <w:spacing w:after="150" w:line="272"/>
      </w:pPr>
      <w:r>
        <w:rPr>
          <w:rFonts w:ascii="Poppins" w:cs="Poppins" w:eastAsia="Poppins" w:hAnsi="Poppins"/>
          <w:color w:val="1A1A1A"/>
          <w:sz w:val="21"/>
          <w:szCs w:val="21"/>
        </w:rPr>
        <w:t xml:space="preserve">Staff must not upload third-party copyrighted or licensed material, such as published schemes of work, textbooks or exam papers, into an AI tool without the rights to do so; doing so can breach licences and copyright. Ownership and permitted use of a tool’s outputs vary by provider and are confirmed at the approval gate (section 4.2); outputs used publicly are checked for third-party rights before release.</w:t>
      </w:r>
    </w:p>
    <w:p>
      <w:pPr>
        <w:pStyle w:val="Heading2"/>
        <w:keepNext/>
        <w:spacing w:after="130" w:before="260"/>
      </w:pPr>
      <w:r>
        <w:rPr>
          <w:rFonts w:ascii="Exo 2" w:cs="Exo 2" w:eastAsia="Exo 2" w:hAnsi="Exo 2"/>
          <w:b/>
          <w:bCs/>
          <w:color w:val="2C3E50"/>
          <w:sz w:val="27"/>
          <w:szCs w:val="27"/>
        </w:rPr>
        <w:t xml:space="preserve">7. Data protection and information security</w:t>
      </w:r>
    </w:p>
    <w:p>
      <w:pPr>
        <w:spacing w:after="150" w:line="272"/>
      </w:pPr>
      <w:r>
        <w:rPr>
          <w:rFonts w:ascii="Poppins" w:cs="Poppins" w:eastAsia="Poppins" w:hAnsi="Poppins"/>
          <w:color w:val="1A1A1A"/>
          <w:sz w:val="21"/>
          <w:szCs w:val="21"/>
        </w:rPr>
        <w:t xml:space="preserve">Everything done with AI complies with the UK GDPR and the Data Protection Act 2018, each as amended by the Data (Use and Access) Act 2025, and with </w:t>
      </w:r>
      <w:r>
        <w:rPr>
          <w:rFonts w:ascii="Poppins" w:cs="Poppins" w:eastAsia="Poppins" w:hAnsi="Poppins"/>
          <w:b/>
          <w:bCs/>
          <w:color w:val="A04000"/>
          <w:sz w:val="21"/>
          <w:szCs w:val="21"/>
        </w:rPr>
        <w:t xml:space="preserve">[INSERT YOUR DATA PROTECTION POLICY]</w:t>
      </w:r>
      <w:r>
        <w:rPr>
          <w:rFonts w:ascii="Poppins" w:cs="Poppins" w:eastAsia="Poppins" w:hAnsi="Poppins"/>
          <w:color w:val="1A1A1A"/>
          <w:sz w:val="21"/>
          <w:szCs w:val="21"/>
        </w:rPr>
        <w:t xml:space="preserve">, the main reference for lawful bases, minimisation and individuals’ rights. The AI-specific points are:</w:t>
      </w:r>
    </w:p>
    <w:p>
      <w:pPr>
        <w:pStyle w:val="ListParagraph"/>
        <w:numPr>
          <w:ilvl w:val="0"/>
          <w:numId w:val="2"/>
        </w:numPr>
        <w:spacing w:after="90" w:line="272"/>
      </w:pPr>
      <w:r>
        <w:rPr>
          <w:rFonts w:ascii="Poppins" w:cs="Poppins" w:eastAsia="Poppins" w:hAnsi="Poppins"/>
          <w:b/>
          <w:bCs/>
          <w:color w:val="1A1A1A"/>
          <w:sz w:val="21"/>
          <w:szCs w:val="21"/>
        </w:rPr>
        <w:t xml:space="preserve">Lawful basis. </w:t>
      </w:r>
      <w:r>
        <w:rPr>
          <w:rFonts w:ascii="Poppins" w:cs="Poppins" w:eastAsia="Poppins" w:hAnsi="Poppins"/>
          <w:color w:val="1A1A1A"/>
          <w:sz w:val="21"/>
          <w:szCs w:val="21"/>
        </w:rPr>
        <w:t xml:space="preserve">Prompts contain no personal data except through tools expressly approved for it (section 6.1); account and usage data is still personal data, which is why every tool needs a processing agreement (section 4.2). Where a deployment processes personal data, the lawful basis is identified and recorded before go-live; consent will rarely be the right basis for a school, and where legitimate interests are relied on, including the amended law’s recognised legitimate interests, the assessment records the reasoning.</w:t>
      </w:r>
    </w:p>
    <w:p>
      <w:pPr>
        <w:pStyle w:val="ListParagraph"/>
        <w:numPr>
          <w:ilvl w:val="0"/>
          <w:numId w:val="2"/>
        </w:numPr>
        <w:spacing w:after="90" w:line="272"/>
      </w:pPr>
      <w:r>
        <w:rPr>
          <w:rFonts w:ascii="Poppins" w:cs="Poppins" w:eastAsia="Poppins" w:hAnsi="Poppins"/>
          <w:b/>
          <w:bCs/>
          <w:color w:val="1A1A1A"/>
          <w:sz w:val="21"/>
          <w:szCs w:val="21"/>
        </w:rPr>
        <w:t xml:space="preserve">Automated decision-making. </w:t>
      </w:r>
      <w:r>
        <w:rPr>
          <w:rFonts w:ascii="Poppins" w:cs="Poppins" w:eastAsia="Poppins" w:hAnsi="Poppins"/>
          <w:color w:val="1A1A1A"/>
          <w:sz w:val="21"/>
          <w:szCs w:val="21"/>
        </w:rPr>
        <w:t xml:space="preserve">In plain terms: the law now permits some fully automated decisions about people; this policy does not. From February 2026, the Data (Use and Access) Act 2025 replaced Article 22 of the UK GDPR with Articles 22A to 22D. The amended law sometimes allows a significant decision, one with a legal or similarly significant effect on a person, to be made solely by automated means. Safeguards must then apply: the person is told, can make representations, can get human intervention and can contest the outcome. Restrictions remain where special category data is involved. This policy holds a stricter line: no decision about an identifiable person is made or recommended by AI (section 6.4). Any future proposal for automated decision-making goes through sections 4.2 and 10, with the Article 22C safeguards designed in from the outset.</w:t>
      </w:r>
    </w:p>
    <w:p>
      <w:pPr>
        <w:pStyle w:val="ListParagraph"/>
        <w:numPr>
          <w:ilvl w:val="0"/>
          <w:numId w:val="2"/>
        </w:numPr>
        <w:spacing w:after="90" w:line="272"/>
      </w:pPr>
      <w:r>
        <w:rPr>
          <w:rFonts w:ascii="Poppins" w:cs="Poppins" w:eastAsia="Poppins" w:hAnsi="Poppins"/>
          <w:b/>
          <w:bCs/>
          <w:color w:val="1A1A1A"/>
          <w:sz w:val="21"/>
          <w:szCs w:val="21"/>
        </w:rPr>
        <w:t xml:space="preserve">Privacy notices. </w:t>
      </w:r>
      <w:r>
        <w:rPr>
          <w:rFonts w:ascii="Poppins" w:cs="Poppins" w:eastAsia="Poppins" w:hAnsi="Poppins"/>
          <w:color w:val="1A1A1A"/>
          <w:sz w:val="21"/>
          <w:szCs w:val="21"/>
        </w:rPr>
        <w:t xml:space="preserve">Where an approved deployment processes personal data, privacy notices are updated before it goes live so pupils, parents and staff know AI is involved, including where the AI sits inside a teacher-facing tool and pupils never touch it.</w:t>
      </w:r>
    </w:p>
    <w:p>
      <w:pPr>
        <w:pStyle w:val="ListParagraph"/>
        <w:numPr>
          <w:ilvl w:val="0"/>
          <w:numId w:val="2"/>
        </w:numPr>
        <w:spacing w:after="90" w:line="272"/>
      </w:pPr>
      <w:r>
        <w:rPr>
          <w:rFonts w:ascii="Poppins" w:cs="Poppins" w:eastAsia="Poppins" w:hAnsi="Poppins"/>
          <w:b/>
          <w:bCs/>
          <w:color w:val="1A1A1A"/>
          <w:sz w:val="21"/>
          <w:szCs w:val="21"/>
        </w:rPr>
        <w:t xml:space="preserve">Minimisation. </w:t>
      </w:r>
      <w:r>
        <w:rPr>
          <w:rFonts w:ascii="Poppins" w:cs="Poppins" w:eastAsia="Poppins" w:hAnsi="Poppins"/>
          <w:color w:val="1A1A1A"/>
          <w:sz w:val="21"/>
          <w:szCs w:val="21"/>
        </w:rPr>
        <w:t xml:space="preserve">Enter only what the task genuinely needs; minimisation is never a route to disguised personal data (section 6.1).</w:t>
      </w:r>
    </w:p>
    <w:p>
      <w:pPr>
        <w:pStyle w:val="ListParagraph"/>
        <w:numPr>
          <w:ilvl w:val="0"/>
          <w:numId w:val="2"/>
        </w:numPr>
        <w:spacing w:after="90" w:line="272"/>
      </w:pPr>
      <w:r>
        <w:rPr>
          <w:rFonts w:ascii="Poppins" w:cs="Poppins" w:eastAsia="Poppins" w:hAnsi="Poppins"/>
          <w:b/>
          <w:bCs/>
          <w:color w:val="1A1A1A"/>
          <w:sz w:val="21"/>
          <w:szCs w:val="21"/>
        </w:rPr>
        <w:t xml:space="preserve">Records, FOI and subject access. </w:t>
      </w:r>
      <w:r>
        <w:rPr>
          <w:rFonts w:ascii="Poppins" w:cs="Poppins" w:eastAsia="Poppins" w:hAnsi="Poppins"/>
          <w:color w:val="1A1A1A"/>
          <w:sz w:val="21"/>
          <w:szCs w:val="21"/>
        </w:rPr>
        <w:t xml:space="preserve">Anything put into or produced by an AI tool is an organisational record: kept and disposed of under </w:t>
      </w:r>
      <w:r>
        <w:rPr>
          <w:rFonts w:ascii="Poppins" w:cs="Poppins" w:eastAsia="Poppins" w:hAnsi="Poppins"/>
          <w:b/>
          <w:bCs/>
          <w:color w:val="A04000"/>
          <w:sz w:val="21"/>
          <w:szCs w:val="21"/>
        </w:rPr>
        <w:t xml:space="preserve">[INSERT YOUR RETENTION POLICY]</w:t>
      </w:r>
      <w:r>
        <w:rPr>
          <w:rFonts w:ascii="Poppins" w:cs="Poppins" w:eastAsia="Poppins" w:hAnsi="Poppins"/>
          <w:color w:val="1A1A1A"/>
          <w:sz w:val="21"/>
          <w:szCs w:val="21"/>
        </w:rPr>
        <w:t xml:space="preserve">, potentially disclosable under freedom of information law, and within scope of subject access requests. When answering a request, check AI interaction logs as well as email and your management information system. </w:t>
      </w:r>
      <w:r>
        <w:rPr>
          <w:rFonts w:ascii="Poppins" w:cs="Poppins" w:eastAsia="Poppins" w:hAnsi="Poppins"/>
          <w:b/>
          <w:bCs/>
          <w:color w:val="A04000"/>
          <w:sz w:val="21"/>
          <w:szCs w:val="21"/>
        </w:rPr>
        <w:t xml:space="preserve">[DELETE AS APPLICABLE: In a Microsoft school, staff prompts and responses in Copilot, including the free Copilot Chat, are searchable through Microsoft Purview under the standard audit licence, though standard retention is short. In a Google school, Gemini app conversations are searchable and exportable through Google Vault; Gemini features built into Gmail and Docs keep no record.]</w:t>
      </w:r>
    </w:p>
    <w:p>
      <w:pPr>
        <w:pStyle w:val="ListParagraph"/>
        <w:numPr>
          <w:ilvl w:val="0"/>
          <w:numId w:val="2"/>
        </w:numPr>
        <w:spacing w:after="90" w:line="272"/>
      </w:pPr>
      <w:r>
        <w:rPr>
          <w:rFonts w:ascii="Poppins" w:cs="Poppins" w:eastAsia="Poppins" w:hAnsi="Poppins"/>
          <w:b/>
          <w:bCs/>
          <w:color w:val="1A1A1A"/>
          <w:sz w:val="21"/>
          <w:szCs w:val="21"/>
        </w:rPr>
        <w:t xml:space="preserve">Security. </w:t>
      </w:r>
      <w:r>
        <w:rPr>
          <w:rFonts w:ascii="Poppins" w:cs="Poppins" w:eastAsia="Poppins" w:hAnsi="Poppins"/>
          <w:color w:val="1A1A1A"/>
          <w:sz w:val="21"/>
          <w:szCs w:val="21"/>
        </w:rPr>
        <w:t xml:space="preserve">Tools and accounts fall under standard cyber controls, including multi-factor authentication, patching and managed access, consistent with the DfE cyber security standards.</w:t>
      </w:r>
    </w:p>
    <w:p>
      <w:pPr>
        <w:pStyle w:val="Heading2"/>
        <w:keepNext/>
        <w:spacing w:after="130" w:before="260"/>
      </w:pPr>
      <w:r>
        <w:rPr>
          <w:rFonts w:ascii="Exo 2" w:cs="Exo 2" w:eastAsia="Exo 2" w:hAnsi="Exo 2"/>
          <w:b/>
          <w:bCs/>
          <w:color w:val="2C3E50"/>
          <w:sz w:val="27"/>
          <w:szCs w:val="27"/>
        </w:rPr>
        <w:t xml:space="preserve">8. Accuracy, bias, accountability and human oversight</w:t>
      </w:r>
    </w:p>
    <w:p>
      <w:pPr>
        <w:pStyle w:val="Heading3"/>
        <w:keepNext/>
        <w:spacing w:after="100" w:before="190"/>
      </w:pPr>
      <w:r>
        <w:rPr>
          <w:rFonts w:ascii="Exo 2" w:cs="Exo 2" w:eastAsia="Exo 2" w:hAnsi="Exo 2"/>
          <w:b/>
          <w:bCs/>
          <w:color w:val="34495E"/>
          <w:sz w:val="23"/>
          <w:szCs w:val="23"/>
        </w:rPr>
        <w:t xml:space="preserve">8.1 Getting things wrong</w:t>
      </w:r>
    </w:p>
    <w:p>
      <w:pPr>
        <w:spacing w:after="150" w:line="272"/>
      </w:pPr>
      <w:r>
        <w:rPr>
          <w:rFonts w:ascii="Poppins" w:cs="Poppins" w:eastAsia="Poppins" w:hAnsi="Poppins"/>
          <w:color w:val="1A1A1A"/>
          <w:sz w:val="21"/>
          <w:szCs w:val="21"/>
        </w:rPr>
        <w:t xml:space="preserve">AI can state untruths, invent sources, carry the biases of its training data, or be out of date. Anything factual is checked against a reliable source before use, and outputs are read critically for bias, especially where they touch teaching, assessment, messages to parents or anything going to an external body.</w:t>
      </w:r>
    </w:p>
    <w:p>
      <w:pPr>
        <w:pStyle w:val="Heading3"/>
        <w:keepNext/>
        <w:spacing w:after="100" w:before="190"/>
      </w:pPr>
      <w:r>
        <w:rPr>
          <w:rFonts w:ascii="Exo 2" w:cs="Exo 2" w:eastAsia="Exo 2" w:hAnsi="Exo 2"/>
          <w:b/>
          <w:bCs/>
          <w:color w:val="34495E"/>
          <w:sz w:val="23"/>
          <w:szCs w:val="23"/>
        </w:rPr>
        <w:t xml:space="preserve">8.2 How prompts shape, and skew, responses</w:t>
      </w:r>
    </w:p>
    <w:p>
      <w:pPr>
        <w:spacing w:after="150" w:line="272"/>
      </w:pPr>
      <w:r>
        <w:rPr>
          <w:rFonts w:ascii="Poppins" w:cs="Poppins" w:eastAsia="Poppins" w:hAnsi="Poppins"/>
          <w:color w:val="1A1A1A"/>
          <w:sz w:val="21"/>
          <w:szCs w:val="21"/>
        </w:rPr>
        <w:t xml:space="preserve">Generative AI reflects the patterns in its training data, and the same request often comes back differently depending on the words used. Ask a tool to explain something “to a boy” and then “to a girl”, and the responses can differ in tone, assumption and content: training biases surfacing. Setting an audience in a prompt is often sound teaching practice, but staff should know it can pull stereotyped or culturally skewed material into the output, and read what comes back with that in mind.</w:t>
      </w:r>
    </w:p>
    <w:p>
      <w:pPr>
        <w:pStyle w:val="Heading3"/>
        <w:keepNext/>
        <w:spacing w:after="100" w:before="190"/>
      </w:pPr>
      <w:r>
        <w:rPr>
          <w:rFonts w:ascii="Exo 2" w:cs="Exo 2" w:eastAsia="Exo 2" w:hAnsi="Exo 2"/>
          <w:b/>
          <w:bCs/>
          <w:color w:val="34495E"/>
          <w:sz w:val="23"/>
          <w:szCs w:val="23"/>
        </w:rPr>
        <w:t xml:space="preserve">8.3 Unsuitable or concerning output</w:t>
      </w:r>
    </w:p>
    <w:p>
      <w:pPr>
        <w:spacing w:after="150" w:line="272"/>
      </w:pPr>
      <w:r>
        <w:rPr>
          <w:rFonts w:ascii="Poppins" w:cs="Poppins" w:eastAsia="Poppins" w:hAnsi="Poppins"/>
          <w:color w:val="1A1A1A"/>
          <w:sz w:val="21"/>
          <w:szCs w:val="21"/>
        </w:rPr>
        <w:t xml:space="preserve">Outputs are read in full before use. Anything raising a safeguarding concern goes to the </w:t>
      </w:r>
      <w:r>
        <w:rPr>
          <w:rFonts w:ascii="Poppins" w:cs="Poppins" w:eastAsia="Poppins" w:hAnsi="Poppins"/>
          <w:b/>
          <w:bCs/>
          <w:color w:val="A04000"/>
          <w:sz w:val="21"/>
          <w:szCs w:val="21"/>
        </w:rPr>
        <w:t xml:space="preserve">[INSERT DESIGNATED SAFEGUARDING LEAD]</w:t>
      </w:r>
      <w:r>
        <w:rPr>
          <w:rFonts w:ascii="Poppins" w:cs="Poppins" w:eastAsia="Poppins" w:hAnsi="Poppins"/>
          <w:color w:val="1A1A1A"/>
          <w:sz w:val="21"/>
          <w:szCs w:val="21"/>
        </w:rPr>
        <w:t xml:space="preserve"> at once, with the material retained for review.</w:t>
      </w:r>
    </w:p>
    <w:p>
      <w:pPr>
        <w:pStyle w:val="Heading3"/>
        <w:keepNext/>
        <w:spacing w:after="100" w:before="190"/>
      </w:pPr>
      <w:r>
        <w:rPr>
          <w:rFonts w:ascii="Exo 2" w:cs="Exo 2" w:eastAsia="Exo 2" w:hAnsi="Exo 2"/>
          <w:b/>
          <w:bCs/>
          <w:color w:val="34495E"/>
          <w:sz w:val="23"/>
          <w:szCs w:val="23"/>
        </w:rPr>
        <w:t xml:space="preserve">8.4 Being open about AI use</w:t>
      </w:r>
    </w:p>
    <w:p>
      <w:pPr>
        <w:spacing w:after="150" w:line="272"/>
      </w:pPr>
      <w:r>
        <w:rPr>
          <w:rFonts w:ascii="Poppins" w:cs="Poppins" w:eastAsia="Poppins" w:hAnsi="Poppins"/>
          <w:color w:val="1A1A1A"/>
          <w:sz w:val="21"/>
          <w:szCs w:val="21"/>
        </w:rPr>
        <w:t xml:space="preserve">Staff should be ready to say where they have used AI. Where a document drafted substantially with AI goes to </w:t>
      </w:r>
      <w:r>
        <w:rPr>
          <w:rFonts w:ascii="Poppins" w:cs="Poppins" w:eastAsia="Poppins" w:hAnsi="Poppins"/>
          <w:b/>
          <w:bCs/>
          <w:color w:val="A04000"/>
          <w:sz w:val="21"/>
          <w:szCs w:val="21"/>
        </w:rPr>
        <w:t xml:space="preserve">[INSERT EXTERNAL BODIES, e.g. governors, the regulator or the DfE]</w:t>
      </w:r>
      <w:r>
        <w:rPr>
          <w:rFonts w:ascii="Poppins" w:cs="Poppins" w:eastAsia="Poppins" w:hAnsi="Poppins"/>
          <w:color w:val="1A1A1A"/>
          <w:sz w:val="21"/>
          <w:szCs w:val="21"/>
        </w:rPr>
        <w:t xml:space="preserve">, that use is disclosed. Responsibility is unchanged: the author owns the content.</w:t>
      </w:r>
    </w:p>
    <w:p>
      <w:pPr>
        <w:pStyle w:val="Heading3"/>
        <w:keepNext/>
        <w:spacing w:after="100" w:before="190"/>
      </w:pPr>
      <w:r>
        <w:rPr>
          <w:rFonts w:ascii="Exo 2" w:cs="Exo 2" w:eastAsia="Exo 2" w:hAnsi="Exo 2"/>
          <w:b/>
          <w:bCs/>
          <w:color w:val="34495E"/>
          <w:sz w:val="23"/>
          <w:szCs w:val="23"/>
        </w:rPr>
        <w:t xml:space="preserve">8.5 Keeping a person in charge</w:t>
      </w:r>
    </w:p>
    <w:p>
      <w:pPr>
        <w:spacing w:after="150" w:line="272"/>
      </w:pPr>
      <w:r>
        <w:rPr>
          <w:rFonts w:ascii="Poppins" w:cs="Poppins" w:eastAsia="Poppins" w:hAnsi="Poppins"/>
          <w:b/>
          <w:bCs/>
          <w:color w:val="1A1A1A"/>
          <w:sz w:val="21"/>
          <w:szCs w:val="21"/>
        </w:rPr>
        <w:t xml:space="preserve">A person stays in charge. </w:t>
      </w:r>
      <w:r>
        <w:rPr>
          <w:rFonts w:ascii="Poppins" w:cs="Poppins" w:eastAsia="Poppins" w:hAnsi="Poppins"/>
          <w:color w:val="1A1A1A"/>
          <w:sz w:val="21"/>
          <w:szCs w:val="21"/>
        </w:rPr>
        <w:t xml:space="preserve">However persuasive an output looks, it is not used, shared, published or acted on until a suitably qualified member of staff has reviewed it and applied their own judgement.</w:t>
      </w:r>
    </w:p>
    <w:p>
      <w:pPr>
        <w:pStyle w:val="ListParagraph"/>
        <w:numPr>
          <w:ilvl w:val="0"/>
          <w:numId w:val="2"/>
        </w:numPr>
        <w:spacing w:after="90" w:line="272"/>
      </w:pPr>
      <w:r>
        <w:rPr>
          <w:rFonts w:ascii="Poppins" w:cs="Poppins" w:eastAsia="Poppins" w:hAnsi="Poppins"/>
          <w:b/>
          <w:bCs/>
          <w:color w:val="1A1A1A"/>
          <w:sz w:val="21"/>
          <w:szCs w:val="21"/>
        </w:rPr>
        <w:t xml:space="preserve">Treat it as a draft, not an answer.</w:t>
      </w:r>
    </w:p>
    <w:p>
      <w:pPr>
        <w:pStyle w:val="ListParagraph"/>
        <w:numPr>
          <w:ilvl w:val="0"/>
          <w:numId w:val="2"/>
        </w:numPr>
        <w:spacing w:after="90" w:line="272"/>
      </w:pPr>
      <w:r>
        <w:rPr>
          <w:rFonts w:ascii="Poppins" w:cs="Poppins" w:eastAsia="Poppins" w:hAnsi="Poppins"/>
          <w:b/>
          <w:bCs/>
          <w:color w:val="1A1A1A"/>
          <w:sz w:val="21"/>
          <w:szCs w:val="21"/>
        </w:rPr>
        <w:t xml:space="preserve">The output is yours; </w:t>
      </w:r>
      <w:r>
        <w:rPr>
          <w:rFonts w:ascii="Poppins" w:cs="Poppins" w:eastAsia="Poppins" w:hAnsi="Poppins"/>
          <w:color w:val="1A1A1A"/>
          <w:sz w:val="21"/>
          <w:szCs w:val="21"/>
        </w:rPr>
        <w:t xml:space="preserve">using AI is no excuse for getting it wrong.</w:t>
      </w:r>
    </w:p>
    <w:p>
      <w:pPr>
        <w:pStyle w:val="ListParagraph"/>
        <w:numPr>
          <w:ilvl w:val="0"/>
          <w:numId w:val="2"/>
        </w:numPr>
        <w:spacing w:after="90" w:line="272"/>
      </w:pPr>
      <w:r>
        <w:rPr>
          <w:rFonts w:ascii="Poppins" w:cs="Poppins" w:eastAsia="Poppins" w:hAnsi="Poppins"/>
          <w:b/>
          <w:bCs/>
          <w:color w:val="1A1A1A"/>
          <w:sz w:val="21"/>
          <w:szCs w:val="21"/>
        </w:rPr>
        <w:t xml:space="preserve">Read it properly, in full, before you use it.</w:t>
      </w:r>
    </w:p>
    <w:p>
      <w:pPr>
        <w:pStyle w:val="ListParagraph"/>
        <w:numPr>
          <w:ilvl w:val="0"/>
          <w:numId w:val="2"/>
        </w:numPr>
        <w:spacing w:after="90" w:line="272"/>
      </w:pPr>
      <w:r>
        <w:rPr>
          <w:rFonts w:ascii="Poppins" w:cs="Poppins" w:eastAsia="Poppins" w:hAnsi="Poppins"/>
          <w:b/>
          <w:bCs/>
          <w:color w:val="1A1A1A"/>
          <w:sz w:val="21"/>
          <w:szCs w:val="21"/>
        </w:rPr>
        <w:t xml:space="preserve">People, not AI, decide about people.</w:t>
      </w:r>
    </w:p>
    <w:p>
      <w:pPr>
        <w:pStyle w:val="Heading2"/>
        <w:keepNext/>
        <w:spacing w:after="130" w:before="260"/>
      </w:pPr>
      <w:r>
        <w:rPr>
          <w:rFonts w:ascii="Exo 2" w:cs="Exo 2" w:eastAsia="Exo 2" w:hAnsi="Exo 2"/>
          <w:b/>
          <w:bCs/>
          <w:color w:val="2C3E50"/>
          <w:sz w:val="27"/>
          <w:szCs w:val="27"/>
        </w:rPr>
        <w:t xml:space="preserve">9. Safeguarding, online safety and Prevent</w:t>
      </w:r>
    </w:p>
    <w:p>
      <w:pPr>
        <w:spacing w:after="150" w:line="272"/>
      </w:pPr>
      <w:r>
        <w:rPr>
          <w:rFonts w:ascii="Poppins" w:cs="Poppins" w:eastAsia="Poppins" w:hAnsi="Poppins"/>
          <w:color w:val="1A1A1A"/>
          <w:sz w:val="21"/>
          <w:szCs w:val="21"/>
        </w:rPr>
        <w:t xml:space="preserve">Keeping Children Safe in Education 2026 names AI within its four areas of online risk: content, including misinformation and disinformation; contact, expressly including harmful interaction with generative AI applications that simulate human contact; conduct, including explicit images generated using AI; and commerce. Online safety, including AI, runs through the whole-organisation approach to safeguarding, and this policy forms part of that approach.</w:t>
      </w:r>
    </w:p>
    <w:p>
      <w:pPr>
        <w:spacing w:after="150" w:line="272"/>
      </w:pPr>
      <w:r>
        <w:rPr>
          <w:rFonts w:ascii="Poppins" w:cs="Poppins" w:eastAsia="Poppins" w:hAnsi="Poppins"/>
          <w:color w:val="1A1A1A"/>
          <w:sz w:val="21"/>
          <w:szCs w:val="21"/>
        </w:rPr>
        <w:t xml:space="preserve">Creating or sharing fabricated media, including deepfakes, intended to mislead, harass, distress or harm anyone in the community is prohibited and dealt with as a serious conduct and, where relevant, safeguarding matter. </w:t>
      </w:r>
      <w:r>
        <w:rPr>
          <w:rFonts w:ascii="Poppins" w:cs="Poppins" w:eastAsia="Poppins" w:hAnsi="Poppins"/>
          <w:b/>
          <w:bCs/>
          <w:color w:val="1A1A1A"/>
          <w:sz w:val="21"/>
          <w:szCs w:val="21"/>
        </w:rPr>
        <w:t xml:space="preserve">Where such material is sexual it may be criminal, and AI-generated sexual imagery of a child is a criminal matter in all circumstances: </w:t>
      </w:r>
      <w:r>
        <w:rPr>
          <w:rFonts w:ascii="Poppins" w:cs="Poppins" w:eastAsia="Poppins" w:hAnsi="Poppins"/>
          <w:color w:val="1A1A1A"/>
          <w:sz w:val="21"/>
          <w:szCs w:val="21"/>
        </w:rPr>
        <w:t xml:space="preserve">it is reported to the </w:t>
      </w:r>
      <w:r>
        <w:rPr>
          <w:rFonts w:ascii="Poppins" w:cs="Poppins" w:eastAsia="Poppins" w:hAnsi="Poppins"/>
          <w:b/>
          <w:bCs/>
          <w:color w:val="A04000"/>
          <w:sz w:val="21"/>
          <w:szCs w:val="21"/>
        </w:rPr>
        <w:t xml:space="preserve">[INSERT DESIGNATED SAFEGUARDING LEAD]</w:t>
      </w:r>
      <w:r>
        <w:rPr>
          <w:rFonts w:ascii="Poppins" w:cs="Poppins" w:eastAsia="Poppins" w:hAnsi="Poppins"/>
          <w:color w:val="1A1A1A"/>
          <w:sz w:val="21"/>
          <w:szCs w:val="21"/>
        </w:rPr>
        <w:t xml:space="preserve">, handled under the child protection policy and referred to the police where required, in line with the Online Safety Act 2023 and the Ofcom Protection of Children code. Multi-agency action follows Working Together to Safeguard Children 2026.</w:t>
      </w:r>
    </w:p>
    <w:p>
      <w:pPr>
        <w:spacing w:after="150" w:line="272"/>
      </w:pPr>
      <w:r>
        <w:rPr>
          <w:rFonts w:ascii="Poppins" w:cs="Poppins" w:eastAsia="Poppins" w:hAnsi="Poppins"/>
          <w:color w:val="1A1A1A"/>
          <w:sz w:val="21"/>
          <w:szCs w:val="21"/>
        </w:rPr>
        <w:t xml:space="preserve">The Prevent duty applies to AI as to everything else. AI can produce, surface or amplify extremist or radicalising content, sometimes from innocuous prompts; any such content or concern is routed through the usual Prevent and safeguarding channels, with section 12 keeping unapproved services out of reach.</w:t>
      </w:r>
    </w:p>
    <w:p>
      <w:pPr>
        <w:spacing w:after="150" w:line="272"/>
      </w:pPr>
      <w:r>
        <w:rPr>
          <w:rFonts w:ascii="Poppins" w:cs="Poppins" w:eastAsia="Poppins" w:hAnsi="Poppins"/>
          <w:color w:val="1A1A1A"/>
          <w:sz w:val="21"/>
          <w:szCs w:val="21"/>
        </w:rPr>
        <w:t xml:space="preserve">The organisation is open with its community about AI: it communicates to parents and carers how AI is used in the organisation, including staff use, through </w:t>
      </w:r>
      <w:r>
        <w:rPr>
          <w:rFonts w:ascii="Poppins" w:cs="Poppins" w:eastAsia="Poppins" w:hAnsi="Poppins"/>
          <w:b/>
          <w:bCs/>
          <w:color w:val="A04000"/>
          <w:sz w:val="21"/>
          <w:szCs w:val="21"/>
        </w:rPr>
        <w:t xml:space="preserve">[INSERT COMMUNICATION ROUTE, e.g. the website and annual information to parents]</w:t>
      </w:r>
      <w:r>
        <w:rPr>
          <w:rFonts w:ascii="Poppins" w:cs="Poppins" w:eastAsia="Poppins" w:hAnsi="Poppins"/>
          <w:color w:val="1A1A1A"/>
          <w:sz w:val="21"/>
          <w:szCs w:val="21"/>
        </w:rPr>
        <w:t xml:space="preserve">.</w:t>
      </w:r>
    </w:p>
    <w:p>
      <w:pPr>
        <w:pStyle w:val="Heading2"/>
        <w:keepNext/>
        <w:spacing w:after="130" w:before="260"/>
      </w:pPr>
      <w:r>
        <w:rPr>
          <w:rFonts w:ascii="Exo 2" w:cs="Exo 2" w:eastAsia="Exo 2" w:hAnsi="Exo 2"/>
          <w:b/>
          <w:bCs/>
          <w:color w:val="2C3E50"/>
          <w:sz w:val="27"/>
          <w:szCs w:val="27"/>
        </w:rPr>
        <w:t xml:space="preserve">10. Impact assessment and product safety checks</w:t>
      </w:r>
    </w:p>
    <w:p>
      <w:pPr>
        <w:spacing w:after="150" w:line="272"/>
      </w:pPr>
      <w:r>
        <w:rPr>
          <w:rFonts w:ascii="Poppins" w:cs="Poppins" w:eastAsia="Poppins" w:hAnsi="Poppins"/>
          <w:color w:val="1A1A1A"/>
          <w:sz w:val="21"/>
          <w:szCs w:val="21"/>
        </w:rPr>
        <w:t xml:space="preserve">Before any AI tool that could process personal data is deployed, an impact assessment is completed, led by the </w:t>
      </w:r>
      <w:r>
        <w:rPr>
          <w:rFonts w:ascii="Poppins" w:cs="Poppins" w:eastAsia="Poppins" w:hAnsi="Poppins"/>
          <w:b/>
          <w:bCs/>
          <w:color w:val="A04000"/>
          <w:sz w:val="21"/>
          <w:szCs w:val="21"/>
        </w:rPr>
        <w:t xml:space="preserve">[INSERT DATA PROTECTION OFFICER / LEAD]</w:t>
      </w:r>
      <w:r>
        <w:rPr>
          <w:rFonts w:ascii="Poppins" w:cs="Poppins" w:eastAsia="Poppins" w:hAnsi="Poppins"/>
          <w:color w:val="1A1A1A"/>
          <w:sz w:val="21"/>
          <w:szCs w:val="21"/>
        </w:rPr>
        <w:t xml:space="preserve">. Every new tool is also checked against the DfE generative AI product safety standards (January 2026), which cover stated purpose, educational use cases, filtering, monitoring and reporting, security, privacy and data protection, intellectual property, design and testing, governance, and safeguards for cognitive development, emotional and social development, mental health and manipulation. The check includes considering, under the Prevent duty, whether the tool could generate or expose users to extremist or otherwise inappropriate ideological content, with any concern routed to the designated safeguarding lead (section 9).</w:t>
      </w:r>
    </w:p>
    <w:p>
      <w:pPr>
        <w:pStyle w:val="Heading2"/>
        <w:keepNext/>
        <w:spacing w:after="130" w:before="260"/>
      </w:pPr>
      <w:r>
        <w:rPr>
          <w:rFonts w:ascii="Exo 2" w:cs="Exo 2" w:eastAsia="Exo 2" w:hAnsi="Exo 2"/>
          <w:b/>
          <w:bCs/>
          <w:color w:val="2C3E50"/>
          <w:sz w:val="27"/>
          <w:szCs w:val="27"/>
        </w:rPr>
        <w:t xml:space="preserve">11. Training and awareness</w:t>
      </w:r>
    </w:p>
    <w:p>
      <w:pPr>
        <w:spacing w:after="150" w:line="272"/>
      </w:pPr>
      <w:r>
        <w:rPr>
          <w:rFonts w:ascii="Poppins" w:cs="Poppins" w:eastAsia="Poppins" w:hAnsi="Poppins"/>
          <w:color w:val="1A1A1A"/>
          <w:sz w:val="21"/>
          <w:szCs w:val="21"/>
        </w:rPr>
        <w:t xml:space="preserve">Before using approved tools for the first time, staff complete </w:t>
      </w:r>
      <w:r>
        <w:rPr>
          <w:rFonts w:ascii="Poppins" w:cs="Poppins" w:eastAsia="Poppins" w:hAnsi="Poppins"/>
          <w:b/>
          <w:bCs/>
          <w:color w:val="A04000"/>
          <w:sz w:val="21"/>
          <w:szCs w:val="21"/>
        </w:rPr>
        <w:t xml:space="preserve">[INSERT REQUIRED TRAINING]</w:t>
      </w:r>
      <w:r>
        <w:rPr>
          <w:rFonts w:ascii="Poppins" w:cs="Poppins" w:eastAsia="Poppins" w:hAnsi="Poppins"/>
          <w:color w:val="1A1A1A"/>
          <w:sz w:val="21"/>
          <w:szCs w:val="21"/>
        </w:rPr>
        <w:t xml:space="preserve">, covering what is approved, the data rules in sections 6 and 7, the principle that a person stays in charge, and what to do if something is entered in error. </w:t>
      </w:r>
      <w:r>
        <w:rPr>
          <w:rFonts w:ascii="Poppins" w:cs="Poppins" w:eastAsia="Poppins" w:hAnsi="Poppins"/>
          <w:b/>
          <w:bCs/>
          <w:color w:val="A04000"/>
          <w:sz w:val="21"/>
          <w:szCs w:val="21"/>
        </w:rPr>
        <w:t xml:space="preserve">[INSERT GROUPS, e.g. leaders, teaching and support staff, IT and data teams]</w:t>
      </w:r>
      <w:r>
        <w:rPr>
          <w:rFonts w:ascii="Poppins" w:cs="Poppins" w:eastAsia="Poppins" w:hAnsi="Poppins"/>
          <w:color w:val="1A1A1A"/>
          <w:sz w:val="21"/>
          <w:szCs w:val="21"/>
        </w:rPr>
        <w:t xml:space="preserve"> refresh this at least once a year. Trustees and governors receive </w:t>
      </w:r>
      <w:r>
        <w:rPr>
          <w:rFonts w:ascii="Poppins" w:cs="Poppins" w:eastAsia="Poppins" w:hAnsi="Poppins"/>
          <w:b/>
          <w:bCs/>
          <w:color w:val="A04000"/>
          <w:sz w:val="21"/>
          <w:szCs w:val="21"/>
        </w:rPr>
        <w:t xml:space="preserve">[INSERT BOARD TRAINING, e.g. an annual AI governance briefing]</w:t>
      </w:r>
      <w:r>
        <w:rPr>
          <w:rFonts w:ascii="Poppins" w:cs="Poppins" w:eastAsia="Poppins" w:hAnsi="Poppins"/>
          <w:color w:val="1A1A1A"/>
          <w:sz w:val="21"/>
          <w:szCs w:val="21"/>
        </w:rPr>
        <w:t xml:space="preserve"> so the board can provide informed oversight.</w:t>
      </w:r>
    </w:p>
    <w:tbl>
      <w:tblPr>
        <w:tblW w:type="dxa" w:w="9520"/>
        <w:tblBorders>
          <w:top w:val="single" w:color="BDC3C7" w:sz="4"/>
          <w:left w:val="single" w:color="BDC3C7" w:sz="4"/>
          <w:bottom w:val="single" w:color="BDC3C7" w:sz="4"/>
          <w:right w:val="single" w:color="BDC3C7" w:sz="4"/>
          <w:insideH w:val="none"/>
          <w:insideV w:val="none"/>
        </w:tblBorders>
      </w:tblPr>
      <w:tblGrid>
        <w:gridCol w:w="9520"/>
      </w:tblGrid>
      <w:tr>
        <w:tc>
          <w:tcPr>
            <w:tcW w:type="dxa" w:w="9520"/>
            <w:shd w:fill="ECF0F1" w:val="clear"/>
            <w:tcMar>
              <w:top w:type="dxa" w:w="130"/>
              <w:left w:type="dxa" w:w="190"/>
              <w:bottom w:type="dxa" w:w="90"/>
              <w:right w:type="dxa" w:w="190"/>
            </w:tcMar>
          </w:tcPr>
          <w:p>
            <w:pPr>
              <w:spacing w:after="80"/>
            </w:pPr>
            <w:r>
              <w:rPr>
                <w:rFonts w:ascii="Exo 2" w:cs="Exo 2" w:eastAsia="Exo 2" w:hAnsi="Exo 2"/>
                <w:b/>
                <w:bCs/>
                <w:color w:val="2C3E50"/>
                <w:sz w:val="20"/>
                <w:szCs w:val="20"/>
              </w:rPr>
              <w:t xml:space="preserve">HOW TO COMPLETE THIS SECTION</w:t>
            </w:r>
          </w:p>
          <w:p>
            <w:pPr>
              <w:spacing w:after="40" w:line="260"/>
            </w:pPr>
            <w:r>
              <w:rPr>
                <w:rFonts w:ascii="Poppins" w:cs="Poppins" w:eastAsia="Poppins" w:hAnsi="Poppins"/>
                <w:color w:val="1A1A1A"/>
                <w:sz w:val="19"/>
                <w:szCs w:val="19"/>
              </w:rPr>
              <w:t xml:space="preserve">Name the training, when it happens and where completion is recorded. Where tool access depends on completing training first, say so.</w:t>
            </w:r>
          </w:p>
        </w:tc>
      </w:tr>
    </w:tbl>
    <w:p>
      <w:pPr>
        <w:pStyle w:val="Heading2"/>
        <w:keepNext/>
        <w:spacing w:after="130" w:before="260"/>
      </w:pPr>
      <w:r>
        <w:rPr>
          <w:rFonts w:ascii="Exo 2" w:cs="Exo 2" w:eastAsia="Exo 2" w:hAnsi="Exo 2"/>
          <w:b/>
          <w:bCs/>
          <w:color w:val="2C3E50"/>
          <w:sz w:val="27"/>
          <w:szCs w:val="27"/>
        </w:rPr>
        <w:t xml:space="preserve">12. Filtering, monitoring and assurance</w:t>
      </w:r>
    </w:p>
    <w:p>
      <w:pPr>
        <w:spacing w:after="150" w:line="272"/>
      </w:pPr>
      <w:r>
        <w:rPr>
          <w:rFonts w:ascii="Poppins" w:cs="Poppins" w:eastAsia="Poppins" w:hAnsi="Poppins"/>
          <w:color w:val="1A1A1A"/>
          <w:sz w:val="21"/>
          <w:szCs w:val="21"/>
        </w:rPr>
        <w:t xml:space="preserve">Access to AI services sits within the organisation’s filtering and monitoring, in line with the DfE filtering and monitoring standards and current UK Safer Internet Centre definitions. Unapproved services are blocked at network level so far as reasonably possible. The named senior lead is the filtering and monitoring lead (section 3). Each year the review considers how generative AI tools are used, and whether the solution can handle real-time, dynamic, personalised and AI-generated content. No filter reliably catches live AI-generated content. That is why the approved list (section 4) and human oversight (section 8) matter as much as network controls. Detailed arrangements live in </w:t>
      </w:r>
      <w:r>
        <w:rPr>
          <w:rFonts w:ascii="Poppins" w:cs="Poppins" w:eastAsia="Poppins" w:hAnsi="Poppins"/>
          <w:b/>
          <w:bCs/>
          <w:color w:val="A04000"/>
          <w:sz w:val="21"/>
          <w:szCs w:val="21"/>
        </w:rPr>
        <w:t xml:space="preserve">[INSERT WHERE YOUR FILTERING AND MONITORING ARRANGEMENTS ARE DOCUMENTED, e.g. your child protection policy, online safety policy or acceptable use agreements]</w:t>
      </w:r>
      <w:r>
        <w:rPr>
          <w:rFonts w:ascii="Poppins" w:cs="Poppins" w:eastAsia="Poppins" w:hAnsi="Poppins"/>
          <w:color w:val="1A1A1A"/>
          <w:sz w:val="21"/>
          <w:szCs w:val="21"/>
        </w:rPr>
        <w:t xml:space="preserve">, the primary source; this section covers only what is specific to AI.</w:t>
      </w:r>
    </w:p>
    <w:p>
      <w:pPr>
        <w:spacing w:after="150" w:line="272"/>
      </w:pPr>
      <w:r>
        <w:rPr>
          <w:rFonts w:ascii="Poppins" w:cs="Poppins" w:eastAsia="Poppins" w:hAnsi="Poppins"/>
          <w:color w:val="1A1A1A"/>
          <w:sz w:val="21"/>
          <w:szCs w:val="21"/>
        </w:rPr>
        <w:t xml:space="preserve">Ofsted does not evaluate AI tools directly; it looks at the organisation’s decision-making: whether data protection, safeguarding, bias and discrimination risks were considered, and whether assurance identifies emerging risks. The records this policy requires, from the gate to impact assessments, training and review, evidence exactly that.</w:t>
      </w:r>
    </w:p>
    <w:tbl>
      <w:tblPr>
        <w:tblW w:type="dxa" w:w="9520"/>
        <w:tblBorders>
          <w:top w:val="single" w:color="BDC3C7" w:sz="4"/>
          <w:left w:val="single" w:color="BDC3C7" w:sz="4"/>
          <w:bottom w:val="single" w:color="BDC3C7" w:sz="4"/>
          <w:right w:val="single" w:color="BDC3C7" w:sz="4"/>
          <w:insideH w:val="none"/>
          <w:insideV w:val="none"/>
        </w:tblBorders>
      </w:tblPr>
      <w:tblGrid>
        <w:gridCol w:w="9520"/>
      </w:tblGrid>
      <w:tr>
        <w:tc>
          <w:tcPr>
            <w:tcW w:type="dxa" w:w="9520"/>
            <w:shd w:fill="ECF0F1" w:val="clear"/>
            <w:tcMar>
              <w:top w:type="dxa" w:w="130"/>
              <w:left w:type="dxa" w:w="190"/>
              <w:bottom w:type="dxa" w:w="90"/>
              <w:right w:type="dxa" w:w="190"/>
            </w:tcMar>
          </w:tcPr>
          <w:p>
            <w:pPr>
              <w:spacing w:after="80"/>
            </w:pPr>
            <w:r>
              <w:rPr>
                <w:rFonts w:ascii="Exo 2" w:cs="Exo 2" w:eastAsia="Exo 2" w:hAnsi="Exo 2"/>
                <w:b/>
                <w:bCs/>
                <w:color w:val="2C3E50"/>
                <w:sz w:val="20"/>
                <w:szCs w:val="20"/>
              </w:rPr>
              <w:t xml:space="preserve">HOW TO COMPLETE THIS SECTION</w:t>
            </w:r>
          </w:p>
          <w:p>
            <w:pPr>
              <w:spacing w:after="40" w:line="260"/>
            </w:pPr>
            <w:r>
              <w:rPr>
                <w:rFonts w:ascii="Poppins" w:cs="Poppins" w:eastAsia="Poppins" w:hAnsi="Poppins"/>
                <w:color w:val="1A1A1A"/>
                <w:sz w:val="19"/>
                <w:szCs w:val="19"/>
              </w:rPr>
              <w:t xml:space="preserve">Signpost, do not duplicate: the technical detail belongs wherever your setting documents filtering and monitoring, and repeating it here creates versions that drift apart.</w:t>
            </w:r>
          </w:p>
        </w:tc>
      </w:tr>
    </w:tbl>
    <w:p>
      <w:pPr>
        <w:pStyle w:val="Heading2"/>
        <w:keepNext/>
        <w:spacing w:after="130" w:before="260"/>
      </w:pPr>
      <w:r>
        <w:rPr>
          <w:rFonts w:ascii="Exo 2" w:cs="Exo 2" w:eastAsia="Exo 2" w:hAnsi="Exo 2"/>
          <w:b/>
          <w:bCs/>
          <w:color w:val="2C3E50"/>
          <w:sz w:val="27"/>
          <w:szCs w:val="27"/>
        </w:rPr>
        <w:t xml:space="preserve">13. Breaches and serious incidents</w:t>
      </w:r>
    </w:p>
    <w:p>
      <w:pPr>
        <w:spacing w:after="150" w:line="272"/>
      </w:pPr>
      <w:r>
        <w:rPr>
          <w:rFonts w:ascii="Poppins" w:cs="Poppins" w:eastAsia="Poppins" w:hAnsi="Poppins"/>
          <w:color w:val="1A1A1A"/>
          <w:sz w:val="21"/>
          <w:szCs w:val="21"/>
        </w:rPr>
        <w:t xml:space="preserve">Suspected breaches are looked into promptly. Depending on seriousness, the response may include withdrawing access to AI tools, requiring further training before access returns, formal action under </w:t>
      </w:r>
      <w:r>
        <w:rPr>
          <w:rFonts w:ascii="Poppins" w:cs="Poppins" w:eastAsia="Poppins" w:hAnsi="Poppins"/>
          <w:b/>
          <w:bCs/>
          <w:color w:val="A04000"/>
          <w:sz w:val="21"/>
          <w:szCs w:val="21"/>
        </w:rPr>
        <w:t xml:space="preserve">[INSERT YOUR DISCIPLINARY POLICY]</w:t>
      </w:r>
      <w:r>
        <w:rPr>
          <w:rFonts w:ascii="Poppins" w:cs="Poppins" w:eastAsia="Poppins" w:hAnsi="Poppins"/>
          <w:color w:val="1A1A1A"/>
          <w:sz w:val="21"/>
          <w:szCs w:val="21"/>
        </w:rPr>
        <w:t xml:space="preserve">, referral to the Teaching Regulation Agency for serious professional misconduct, and notification to the ICO for a data protection breach. Where safeguarding is involved, the matter is handled under the child protection policy and may be referred to the police or the local authority designated officer. A serious AI incident, such as a significant data breach, a safeguarding matter or an event carrying reputational risk, is escalated at once to </w:t>
      </w:r>
      <w:r>
        <w:rPr>
          <w:rFonts w:ascii="Poppins" w:cs="Poppins" w:eastAsia="Poppins" w:hAnsi="Poppins"/>
          <w:b/>
          <w:bCs/>
          <w:color w:val="A04000"/>
          <w:sz w:val="21"/>
          <w:szCs w:val="21"/>
        </w:rPr>
        <w:t xml:space="preserve">[INSERT ESCALATION ROUTE, e.g. the CEO and chair of trustees]</w:t>
      </w:r>
      <w:r>
        <w:rPr>
          <w:rFonts w:ascii="Poppins" w:cs="Poppins" w:eastAsia="Poppins" w:hAnsi="Poppins"/>
          <w:color w:val="1A1A1A"/>
          <w:sz w:val="21"/>
          <w:szCs w:val="21"/>
        </w:rPr>
        <w:t xml:space="preserve">, without waiting for routine reporting.</w:t>
      </w:r>
    </w:p>
    <w:p>
      <w:r>
        <w:br w:type="page"/>
      </w:r>
    </w:p>
    <w:p>
      <w:pPr>
        <w:pStyle w:val="Heading1"/>
        <w:keepNext/>
        <w:spacing w:after="180" w:before="60"/>
      </w:pPr>
      <w:r>
        <w:rPr>
          <w:rFonts w:ascii="Exo 2" w:cs="Exo 2" w:eastAsia="Exo 2" w:hAnsi="Exo 2"/>
          <w:b/>
          <w:bCs/>
          <w:color w:val="2C3E50"/>
          <w:sz w:val="34"/>
          <w:szCs w:val="34"/>
        </w:rPr>
        <w:t xml:space="preserve">Optional module: pupil use of AI</w:t>
      </w:r>
    </w:p>
    <w:tbl>
      <w:tblPr>
        <w:tblW w:type="dxa" w:w="9520"/>
        <w:tblBorders>
          <w:top w:val="single" w:color="BDC3C7" w:sz="4"/>
          <w:left w:val="single" w:color="BDC3C7" w:sz="4"/>
          <w:bottom w:val="single" w:color="BDC3C7" w:sz="4"/>
          <w:right w:val="single" w:color="BDC3C7" w:sz="4"/>
          <w:insideH w:val="none"/>
          <w:insideV w:val="none"/>
        </w:tblBorders>
      </w:tblPr>
      <w:tblGrid>
        <w:gridCol w:w="9520"/>
      </w:tblGrid>
      <w:tr>
        <w:tc>
          <w:tcPr>
            <w:tcW w:type="dxa" w:w="9520"/>
            <w:shd w:fill="FDEBD0" w:val="clear"/>
            <w:tcMar>
              <w:top w:type="dxa" w:w="130"/>
              <w:left w:type="dxa" w:w="190"/>
              <w:bottom w:type="dxa" w:w="90"/>
              <w:right w:type="dxa" w:w="190"/>
            </w:tcMar>
          </w:tcPr>
          <w:p>
            <w:pPr>
              <w:spacing w:after="80"/>
            </w:pPr>
            <w:r>
              <w:rPr>
                <w:rFonts w:ascii="Exo 2" w:cs="Exo 2" w:eastAsia="Exo 2" w:hAnsi="Exo 2"/>
                <w:b/>
                <w:bCs/>
                <w:color w:val="A04000"/>
                <w:sz w:val="20"/>
                <w:szCs w:val="20"/>
              </w:rPr>
              <w:t xml:space="preserve">OPTIONAL MODULE</w:t>
            </w:r>
          </w:p>
          <w:p>
            <w:pPr>
              <w:spacing w:after="40" w:line="260"/>
            </w:pPr>
            <w:r>
              <w:rPr>
                <w:rFonts w:ascii="Poppins" w:cs="Poppins" w:eastAsia="Poppins" w:hAnsi="Poppins"/>
                <w:color w:val="1A1A1A"/>
                <w:sz w:val="19"/>
                <w:szCs w:val="19"/>
              </w:rPr>
              <w:t xml:space="preserve">Switch on only if your setting permits pupil use, and only once both preconditions are met: (1) a DPIA completed for the specific tools and processing; (2) an age-appropriate AI education plan covering AI literacy, misinformation, deepfakes and responsible use. If pupil use is not permitted, delete this module and keep section 2 as drafted. Enabling pupil use without the preconditions is the commonest way a sound policy becomes indefensible.</w:t>
            </w:r>
          </w:p>
        </w:tc>
      </w:tr>
    </w:tbl>
    <w:p>
      <w:pPr>
        <w:spacing w:after="110"/>
      </w:pPr>
    </w:p>
    <w:p>
      <w:pPr>
        <w:pStyle w:val="Heading3"/>
        <w:keepNext/>
        <w:spacing w:after="100" w:before="190"/>
      </w:pPr>
      <w:r>
        <w:rPr>
          <w:rFonts w:ascii="Exo 2" w:cs="Exo 2" w:eastAsia="Exo 2" w:hAnsi="Exo 2"/>
          <w:b/>
          <w:bCs/>
          <w:color w:val="34495E"/>
          <w:sz w:val="23"/>
          <w:szCs w:val="23"/>
        </w:rPr>
        <w:t xml:space="preserve">P.1 Scope of pupil use</w:t>
      </w:r>
    </w:p>
    <w:p>
      <w:pPr>
        <w:spacing w:after="150" w:line="272"/>
      </w:pPr>
      <w:r>
        <w:rPr>
          <w:rFonts w:ascii="Poppins" w:cs="Poppins" w:eastAsia="Poppins" w:hAnsi="Poppins"/>
          <w:color w:val="1A1A1A"/>
          <w:sz w:val="21"/>
          <w:szCs w:val="21"/>
        </w:rPr>
        <w:t xml:space="preserve">Where enabled, pupils may use AI only through </w:t>
      </w:r>
      <w:r>
        <w:rPr>
          <w:rFonts w:ascii="Poppins" w:cs="Poppins" w:eastAsia="Poppins" w:hAnsi="Poppins"/>
          <w:b/>
          <w:bCs/>
          <w:color w:val="A04000"/>
          <w:sz w:val="21"/>
          <w:szCs w:val="21"/>
        </w:rPr>
        <w:t xml:space="preserve">[INSERT APPROVED PUPIL-FACING TOOLS]</w:t>
      </w:r>
      <w:r>
        <w:rPr>
          <w:rFonts w:ascii="Poppins" w:cs="Poppins" w:eastAsia="Poppins" w:hAnsi="Poppins"/>
          <w:color w:val="1A1A1A"/>
          <w:sz w:val="21"/>
          <w:szCs w:val="21"/>
        </w:rPr>
        <w:t xml:space="preserve"> for </w:t>
      </w:r>
      <w:r>
        <w:rPr>
          <w:rFonts w:ascii="Poppins" w:cs="Poppins" w:eastAsia="Poppins" w:hAnsi="Poppins"/>
          <w:b/>
          <w:bCs/>
          <w:color w:val="A04000"/>
          <w:sz w:val="21"/>
          <w:szCs w:val="21"/>
        </w:rPr>
        <w:t xml:space="preserve">[INSERT PERMITTED PURPOSES]</w:t>
      </w:r>
      <w:r>
        <w:rPr>
          <w:rFonts w:ascii="Poppins" w:cs="Poppins" w:eastAsia="Poppins" w:hAnsi="Poppins"/>
          <w:color w:val="1A1A1A"/>
          <w:sz w:val="21"/>
          <w:szCs w:val="21"/>
        </w:rPr>
        <w:t xml:space="preserve">, under staff supervision. Sections 6 to 8 apply to pupil use, and any pupil-facing tool must have cleared the gate at section 4.2; the product safety standards checked there include learner-facing safeguards that exist precisely for this.</w:t>
      </w:r>
    </w:p>
    <w:p>
      <w:pPr>
        <w:pStyle w:val="Heading3"/>
        <w:keepNext/>
        <w:spacing w:after="100" w:before="190"/>
      </w:pPr>
      <w:r>
        <w:rPr>
          <w:rFonts w:ascii="Exo 2" w:cs="Exo 2" w:eastAsia="Exo 2" w:hAnsi="Exo 2"/>
          <w:b/>
          <w:bCs/>
          <w:color w:val="34495E"/>
          <w:sz w:val="23"/>
          <w:szCs w:val="23"/>
        </w:rPr>
        <w:t xml:space="preserve">P.2 Age thresholds, agreement and the Children’s Code</w:t>
      </w:r>
    </w:p>
    <w:p>
      <w:pPr>
        <w:spacing w:after="150" w:line="272"/>
      </w:pPr>
      <w:r>
        <w:rPr>
          <w:rFonts w:ascii="Poppins" w:cs="Poppins" w:eastAsia="Poppins" w:hAnsi="Poppins"/>
          <w:color w:val="1A1A1A"/>
          <w:sz w:val="21"/>
          <w:szCs w:val="21"/>
        </w:rPr>
        <w:t xml:space="preserve">Pupil use is governed by the law and by each tool’s own terms, most of which set a minimum age. Within this setting, to be confirmed against the actual terms of each approved tool:</w:t>
      </w:r>
    </w:p>
    <w:p>
      <w:pPr>
        <w:pStyle w:val="ListParagraph"/>
        <w:numPr>
          <w:ilvl w:val="0"/>
          <w:numId w:val="2"/>
        </w:numPr>
        <w:spacing w:after="90" w:line="272"/>
      </w:pPr>
      <w:r>
        <w:rPr>
          <w:rFonts w:ascii="Poppins" w:cs="Poppins" w:eastAsia="Poppins" w:hAnsi="Poppins"/>
          <w:color w:val="1A1A1A"/>
          <w:sz w:val="21"/>
          <w:szCs w:val="21"/>
        </w:rPr>
        <w:t xml:space="preserve">younger pupils, </w:t>
      </w:r>
      <w:r>
        <w:rPr>
          <w:rFonts w:ascii="Poppins" w:cs="Poppins" w:eastAsia="Poppins" w:hAnsi="Poppins"/>
          <w:b/>
          <w:bCs/>
          <w:color w:val="A04000"/>
          <w:sz w:val="21"/>
          <w:szCs w:val="21"/>
        </w:rPr>
        <w:t xml:space="preserve">[INSERT AGE THRESHOLD, e.g. those under 13]</w:t>
      </w:r>
      <w:r>
        <w:rPr>
          <w:rFonts w:ascii="Poppins" w:cs="Poppins" w:eastAsia="Poppins" w:hAnsi="Poppins"/>
          <w:color w:val="1A1A1A"/>
          <w:sz w:val="21"/>
          <w:szCs w:val="21"/>
        </w:rPr>
        <w:t xml:space="preserve">, do not use AI tools themselves, in school or for school-set work;</w:t>
      </w:r>
    </w:p>
    <w:p>
      <w:pPr>
        <w:pStyle w:val="ListParagraph"/>
        <w:numPr>
          <w:ilvl w:val="0"/>
          <w:numId w:val="2"/>
        </w:numPr>
        <w:spacing w:after="90" w:line="272"/>
      </w:pPr>
      <w:r>
        <w:rPr>
          <w:rFonts w:ascii="Poppins" w:cs="Poppins" w:eastAsia="Poppins" w:hAnsi="Poppins"/>
          <w:color w:val="1A1A1A"/>
          <w:sz w:val="21"/>
          <w:szCs w:val="21"/>
        </w:rPr>
        <w:t xml:space="preserve">older pupils, </w:t>
      </w:r>
      <w:r>
        <w:rPr>
          <w:rFonts w:ascii="Poppins" w:cs="Poppins" w:eastAsia="Poppins" w:hAnsi="Poppins"/>
          <w:b/>
          <w:bCs/>
          <w:color w:val="A04000"/>
          <w:sz w:val="21"/>
          <w:szCs w:val="21"/>
        </w:rPr>
        <w:t xml:space="preserve">[INSERT AGE THRESHOLD, e.g. 13 and above]</w:t>
      </w:r>
      <w:r>
        <w:rPr>
          <w:rFonts w:ascii="Poppins" w:cs="Poppins" w:eastAsia="Poppins" w:hAnsi="Poppins"/>
          <w:color w:val="1A1A1A"/>
          <w:sz w:val="21"/>
          <w:szCs w:val="21"/>
        </w:rPr>
        <w:t xml:space="preserve">, may use approved tools where the law and the tool’s terms allow;</w:t>
      </w:r>
    </w:p>
    <w:p>
      <w:pPr>
        <w:pStyle w:val="ListParagraph"/>
        <w:numPr>
          <w:ilvl w:val="0"/>
          <w:numId w:val="2"/>
        </w:numPr>
        <w:spacing w:after="90" w:line="272"/>
      </w:pPr>
      <w:r>
        <w:rPr>
          <w:rFonts w:ascii="Poppins" w:cs="Poppins" w:eastAsia="Poppins" w:hAnsi="Poppins"/>
          <w:color w:val="1A1A1A"/>
          <w:sz w:val="21"/>
          <w:szCs w:val="21"/>
        </w:rPr>
        <w:t xml:space="preserve">a teacher demonstrating a tool, with pupils watching rather than using it, is not subject to these thresholds.</w:t>
      </w:r>
    </w:p>
    <w:p>
      <w:pPr>
        <w:spacing w:after="150" w:line="272"/>
      </w:pPr>
      <w:r>
        <w:rPr>
          <w:rFonts w:ascii="Poppins" w:cs="Poppins" w:eastAsia="Poppins" w:hAnsi="Poppins"/>
          <w:color w:val="1A1A1A"/>
          <w:sz w:val="21"/>
          <w:szCs w:val="21"/>
        </w:rPr>
        <w:t xml:space="preserve">Do not conflate two different things. A tool’s terms may require parent or guardian agreement for younger users; </w:t>
      </w:r>
      <w:r>
        <w:rPr>
          <w:rFonts w:ascii="Poppins" w:cs="Poppins" w:eastAsia="Poppins" w:hAnsi="Poppins"/>
          <w:b/>
          <w:bCs/>
          <w:color w:val="A04000"/>
          <w:sz w:val="21"/>
          <w:szCs w:val="21"/>
        </w:rPr>
        <w:t xml:space="preserve">[INSERT RESPONSIBLE ROLE]</w:t>
      </w:r>
      <w:r>
        <w:rPr>
          <w:rFonts w:ascii="Poppins" w:cs="Poppins" w:eastAsia="Poppins" w:hAnsi="Poppins"/>
          <w:color w:val="1A1A1A"/>
          <w:sz w:val="21"/>
          <w:szCs w:val="21"/>
        </w:rPr>
        <w:t xml:space="preserve"> obtains and records that agreement before use. Separately, the organisation’s UK GDPR lawful basis for processing pupils’ data comes from the DPIA and will rarely be consent. Where a pupil-facing tool processes children’s data, the ICO Children’s Code applies: the child’s best interests come first, settings default to high privacy, and profiling, building a picture of a child from their data, is off by default. Conformance is checked in the impact assessment. Using a tool below its stated minimum age, or without the required agreement, is likely to breach both the tool’s terms and data protection law. Declining pupil use where this is impractical is a defensible choice.</w:t>
      </w:r>
    </w:p>
    <w:tbl>
      <w:tblPr>
        <w:tblW w:type="dxa" w:w="9520"/>
        <w:tblBorders>
          <w:top w:val="single" w:color="BDC3C7" w:sz="4"/>
          <w:left w:val="single" w:color="BDC3C7" w:sz="4"/>
          <w:bottom w:val="single" w:color="BDC3C7" w:sz="4"/>
          <w:right w:val="single" w:color="BDC3C7" w:sz="4"/>
          <w:insideH w:val="none"/>
          <w:insideV w:val="none"/>
        </w:tblBorders>
      </w:tblPr>
      <w:tblGrid>
        <w:gridCol w:w="9520"/>
      </w:tblGrid>
      <w:tr>
        <w:tc>
          <w:tcPr>
            <w:tcW w:type="dxa" w:w="9520"/>
            <w:shd w:fill="ECF0F1" w:val="clear"/>
            <w:tcMar>
              <w:top w:type="dxa" w:w="130"/>
              <w:left w:type="dxa" w:w="190"/>
              <w:bottom w:type="dxa" w:w="90"/>
              <w:right w:type="dxa" w:w="190"/>
            </w:tcMar>
          </w:tcPr>
          <w:p>
            <w:pPr>
              <w:spacing w:after="80"/>
            </w:pPr>
            <w:r>
              <w:rPr>
                <w:rFonts w:ascii="Exo 2" w:cs="Exo 2" w:eastAsia="Exo 2" w:hAnsi="Exo 2"/>
                <w:b/>
                <w:bCs/>
                <w:color w:val="2C3E50"/>
                <w:sz w:val="20"/>
                <w:szCs w:val="20"/>
              </w:rPr>
              <w:t xml:space="preserve">HOW TO COMPLETE THIS SECTION</w:t>
            </w:r>
          </w:p>
          <w:p>
            <w:pPr>
              <w:spacing w:after="40" w:line="260"/>
            </w:pPr>
            <w:r>
              <w:rPr>
                <w:rFonts w:ascii="Poppins" w:cs="Poppins" w:eastAsia="Poppins" w:hAnsi="Poppins"/>
                <w:color w:val="1A1A1A"/>
                <w:sz w:val="19"/>
                <w:szCs w:val="19"/>
              </w:rPr>
              <w:t xml:space="preserve">Set thresholds against the terms of the specific tools you approve; do not assume one number fits all. Decide who owns agreement collection and where the record lives.</w:t>
            </w:r>
          </w:p>
        </w:tc>
      </w:tr>
    </w:tbl>
    <w:p>
      <w:pPr>
        <w:pStyle w:val="Heading3"/>
        <w:keepNext/>
        <w:spacing w:after="100" w:before="190"/>
      </w:pPr>
      <w:r>
        <w:rPr>
          <w:rFonts w:ascii="Exo 2" w:cs="Exo 2" w:eastAsia="Exo 2" w:hAnsi="Exo 2"/>
          <w:b/>
          <w:bCs/>
          <w:color w:val="34495E"/>
          <w:sz w:val="23"/>
          <w:szCs w:val="23"/>
        </w:rPr>
        <w:t xml:space="preserve">P.3 Academic integrity</w:t>
      </w:r>
    </w:p>
    <w:p>
      <w:pPr>
        <w:spacing w:after="150" w:line="272"/>
      </w:pPr>
      <w:r>
        <w:rPr>
          <w:rFonts w:ascii="Poppins" w:cs="Poppins" w:eastAsia="Poppins" w:hAnsi="Poppins"/>
          <w:color w:val="1A1A1A"/>
          <w:sz w:val="21"/>
          <w:szCs w:val="21"/>
        </w:rPr>
        <w:t xml:space="preserve">Pupils declare and reference AI-assisted work where required, in line with JCQ requirements and </w:t>
      </w:r>
      <w:r>
        <w:rPr>
          <w:rFonts w:ascii="Poppins" w:cs="Poppins" w:eastAsia="Poppins" w:hAnsi="Poppins"/>
          <w:b/>
          <w:bCs/>
          <w:color w:val="A04000"/>
          <w:sz w:val="21"/>
          <w:szCs w:val="21"/>
        </w:rPr>
        <w:t xml:space="preserve">[INSERT ORGANISATION NAME]</w:t>
      </w:r>
      <w:r>
        <w:rPr>
          <w:rFonts w:ascii="Poppins" w:cs="Poppins" w:eastAsia="Poppins" w:hAnsi="Poppins"/>
          <w:color w:val="1A1A1A"/>
          <w:sz w:val="21"/>
          <w:szCs w:val="21"/>
        </w:rPr>
        <w:t xml:space="preserve"> regulations; work submitted for qualifications must be demonstrably the pupil’s own. Staff monitor for signs of unauthorised use, such as marked, unexplained changes in standard or style, and investigate in line with JCQ guidance; detector output is never proof (section 6.4).</w:t>
      </w:r>
    </w:p>
    <w:p>
      <w:pPr>
        <w:pStyle w:val="Heading3"/>
        <w:keepNext/>
        <w:spacing w:after="100" w:before="190"/>
      </w:pPr>
      <w:r>
        <w:rPr>
          <w:rFonts w:ascii="Exo 2" w:cs="Exo 2" w:eastAsia="Exo 2" w:hAnsi="Exo 2"/>
          <w:b/>
          <w:bCs/>
          <w:color w:val="34495E"/>
          <w:sz w:val="23"/>
          <w:szCs w:val="23"/>
        </w:rPr>
        <w:t xml:space="preserve">P.4 Pupil AI literacy and safeguarding</w:t>
      </w:r>
    </w:p>
    <w:p>
      <w:pPr>
        <w:spacing w:after="150" w:line="272"/>
      </w:pPr>
      <w:r>
        <w:rPr>
          <w:rFonts w:ascii="Poppins" w:cs="Poppins" w:eastAsia="Poppins" w:hAnsi="Poppins"/>
          <w:color w:val="1A1A1A"/>
          <w:sz w:val="21"/>
          <w:szCs w:val="21"/>
        </w:rPr>
        <w:t xml:space="preserve">Pupils are taught AI’s capabilities and limits, to recognise deepfakes, misinformation and impersonation, and to avoid over-reliance, including on tools that simulate conversation or companionship. Pupils must not use AI to impersonate or manipulate images of others: a serious behaviour and safeguarding matter, and where imagery is sexual or involves a child, a criminal one (section 9). Concerns go to the designated safeguarding lead by the usual route.</w:t>
      </w:r>
    </w:p>
    <w:p>
      <w:pPr>
        <w:pStyle w:val="Heading3"/>
        <w:keepNext/>
        <w:spacing w:after="100" w:before="190"/>
      </w:pPr>
      <w:r>
        <w:rPr>
          <w:rFonts w:ascii="Exo 2" w:cs="Exo 2" w:eastAsia="Exo 2" w:hAnsi="Exo 2"/>
          <w:b/>
          <w:bCs/>
          <w:color w:val="34495E"/>
          <w:sz w:val="23"/>
          <w:szCs w:val="23"/>
        </w:rPr>
        <w:t xml:space="preserve">P.5 Pupil roles and responsibilities</w:t>
      </w:r>
    </w:p>
    <w:tbl>
      <w:tblPr>
        <w:tblW w:type="dxa" w:w="9520"/>
        <w:tblBorders>
          <w:top w:val="single" w:color="BDC3C7" w:sz="4"/>
          <w:left w:val="single" w:color="BDC3C7" w:sz="4"/>
          <w:bottom w:val="single" w:color="BDC3C7" w:sz="4"/>
          <w:right w:val="single" w:color="BDC3C7" w:sz="4"/>
          <w:insideH w:val="single" w:color="BDC3C7" w:sz="4"/>
          <w:insideV w:val="single" w:color="BDC3C7" w:sz="4"/>
        </w:tblBorders>
      </w:tblPr>
      <w:tblGrid>
        <w:gridCol w:w="2300"/>
        <w:gridCol w:w="5220"/>
        <w:gridCol w:w="2000"/>
      </w:tblGrid>
      <w:tr>
        <w:trPr>
          <w:tblHeader/>
        </w:trPr>
        <w:tc>
          <w:tcPr>
            <w:tcW w:type="dxa" w:w="2300"/>
            <w:shd w:fill="2C3E50" w:val="clear"/>
            <w:tcMar>
              <w:top w:type="dxa" w:w="85"/>
              <w:left w:type="dxa" w:w="125"/>
              <w:bottom w:type="dxa" w:w="85"/>
              <w:right w:type="dxa" w:w="125"/>
            </w:tcMar>
          </w:tcPr>
          <w:p>
            <w:pPr>
              <w:spacing w:after="0" w:line="250"/>
            </w:pPr>
            <w:r>
              <w:rPr>
                <w:rFonts w:ascii="Poppins" w:cs="Poppins" w:eastAsia="Poppins" w:hAnsi="Poppins"/>
                <w:b/>
                <w:bCs/>
                <w:color w:val="FFFFFF"/>
                <w:sz w:val="19"/>
                <w:szCs w:val="19"/>
              </w:rPr>
              <w:t xml:space="preserve">Role</w:t>
            </w:r>
          </w:p>
        </w:tc>
        <w:tc>
          <w:tcPr>
            <w:tcW w:type="dxa" w:w="5220"/>
            <w:shd w:fill="2C3E50" w:val="clear"/>
            <w:tcMar>
              <w:top w:type="dxa" w:w="85"/>
              <w:left w:type="dxa" w:w="125"/>
              <w:bottom w:type="dxa" w:w="85"/>
              <w:right w:type="dxa" w:w="125"/>
            </w:tcMar>
          </w:tcPr>
          <w:p>
            <w:pPr>
              <w:spacing w:after="0" w:line="250"/>
            </w:pPr>
            <w:r>
              <w:rPr>
                <w:rFonts w:ascii="Poppins" w:cs="Poppins" w:eastAsia="Poppins" w:hAnsi="Poppins"/>
                <w:b/>
                <w:bCs/>
                <w:color w:val="FFFFFF"/>
                <w:sz w:val="19"/>
                <w:szCs w:val="19"/>
              </w:rPr>
              <w:t xml:space="preserve">Responsibility</w:t>
            </w:r>
          </w:p>
        </w:tc>
        <w:tc>
          <w:tcPr>
            <w:tcW w:type="dxa" w:w="2000"/>
            <w:shd w:fill="2C3E50" w:val="clear"/>
            <w:tcMar>
              <w:top w:type="dxa" w:w="85"/>
              <w:left w:type="dxa" w:w="125"/>
              <w:bottom w:type="dxa" w:w="85"/>
              <w:right w:type="dxa" w:w="125"/>
            </w:tcMar>
          </w:tcPr>
          <w:p>
            <w:pPr>
              <w:spacing w:after="0" w:line="250"/>
            </w:pPr>
            <w:r>
              <w:rPr>
                <w:rFonts w:ascii="Poppins" w:cs="Poppins" w:eastAsia="Poppins" w:hAnsi="Poppins"/>
                <w:b/>
                <w:bCs/>
                <w:color w:val="FFFFFF"/>
                <w:sz w:val="19"/>
                <w:szCs w:val="19"/>
              </w:rPr>
              <w:t xml:space="preserve">Accountability</w:t>
            </w:r>
          </w:p>
        </w:tc>
      </w:tr>
      <w:tr>
        <w:tc>
          <w:tcPr>
            <w:tcW w:type="dxa" w:w="23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Pupils</w:t>
            </w:r>
          </w:p>
        </w:tc>
        <w:tc>
          <w:tcPr>
            <w:tcW w:type="dxa" w:w="52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Use AI responsibly and in line with this policy; declare AI use where required; avoid over-reliance.</w:t>
            </w:r>
          </w:p>
        </w:tc>
        <w:tc>
          <w:tcPr>
            <w:tcW w:type="dxa" w:w="200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w:t>
            </w:r>
          </w:p>
        </w:tc>
      </w:tr>
      <w:tr>
        <w:tc>
          <w:tcPr>
            <w:tcW w:type="dxa" w:w="230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Staff supervising pupil use</w:t>
            </w:r>
          </w:p>
        </w:tc>
        <w:tc>
          <w:tcPr>
            <w:tcW w:type="dxa" w:w="5220"/>
            <w:tcMar>
              <w:top w:type="dxa" w:w="85"/>
              <w:left w:type="dxa" w:w="125"/>
              <w:bottom w:type="dxa" w:w="85"/>
              <w:right w:type="dxa" w:w="125"/>
            </w:tcMar>
          </w:tcPr>
          <w:p>
            <w:pPr>
              <w:spacing w:after="0" w:line="250"/>
            </w:pPr>
            <w:r>
              <w:rPr>
                <w:rFonts w:ascii="Poppins" w:cs="Poppins" w:eastAsia="Poppins" w:hAnsi="Poppins"/>
                <w:color w:val="1A1A1A"/>
                <w:sz w:val="19"/>
                <w:szCs w:val="19"/>
              </w:rPr>
              <w:t xml:space="preserve">Teach AI literacy; ensure use compromises neither integrity nor safeguarding; verify tools and tasks are appropriate.</w:t>
            </w:r>
          </w:p>
        </w:tc>
        <w:tc>
          <w:tcPr>
            <w:tcW w:type="dxa" w:w="2000"/>
            <w:tcMar>
              <w:top w:type="dxa" w:w="85"/>
              <w:left w:type="dxa" w:w="125"/>
              <w:bottom w:type="dxa" w:w="85"/>
              <w:right w:type="dxa" w:w="125"/>
            </w:tcMar>
          </w:tcPr>
          <w:p>
            <w:pPr>
              <w:spacing w:after="0" w:line="250"/>
            </w:pPr>
            <w:r>
              <w:rPr>
                <w:rFonts w:ascii="Poppins" w:cs="Poppins" w:eastAsia="Poppins" w:hAnsi="Poppins"/>
                <w:b/>
                <w:bCs/>
                <w:color w:val="A04000"/>
                <w:sz w:val="19"/>
                <w:szCs w:val="19"/>
              </w:rPr>
              <w:t xml:space="preserve">[INSERT]</w:t>
            </w:r>
          </w:p>
        </w:tc>
      </w:tr>
    </w:tbl>
    <w:p>
      <w:pPr>
        <w:spacing w:after="110"/>
      </w:pPr>
    </w:p>
    <w:tbl>
      <w:tblPr>
        <w:tblW w:type="dxa" w:w="9520"/>
        <w:tblBorders>
          <w:top w:val="single" w:color="BDC3C7" w:sz="4"/>
          <w:left w:val="single" w:color="BDC3C7" w:sz="4"/>
          <w:bottom w:val="single" w:color="BDC3C7" w:sz="4"/>
          <w:right w:val="single" w:color="BDC3C7" w:sz="4"/>
          <w:insideH w:val="none"/>
          <w:insideV w:val="none"/>
        </w:tblBorders>
      </w:tblPr>
      <w:tblGrid>
        <w:gridCol w:w="9520"/>
      </w:tblGrid>
      <w:tr>
        <w:tc>
          <w:tcPr>
            <w:tcW w:type="dxa" w:w="9520"/>
            <w:shd w:fill="ECF0F1" w:val="clear"/>
            <w:tcMar>
              <w:top w:type="dxa" w:w="130"/>
              <w:left w:type="dxa" w:w="190"/>
              <w:bottom w:type="dxa" w:w="90"/>
              <w:right w:type="dxa" w:w="190"/>
            </w:tcMar>
          </w:tcPr>
          <w:p>
            <w:pPr>
              <w:spacing w:after="80"/>
            </w:pPr>
            <w:r>
              <w:rPr>
                <w:rFonts w:ascii="Exo 2" w:cs="Exo 2" w:eastAsia="Exo 2" w:hAnsi="Exo 2"/>
                <w:b/>
                <w:bCs/>
                <w:color w:val="2C3E50"/>
                <w:sz w:val="20"/>
                <w:szCs w:val="20"/>
              </w:rPr>
              <w:t xml:space="preserve">DISCLAIMER</w:t>
            </w:r>
          </w:p>
          <w:p>
            <w:pPr>
              <w:spacing w:after="80" w:line="260"/>
            </w:pPr>
            <w:r>
              <w:rPr>
                <w:rFonts w:ascii="Poppins" w:cs="Poppins" w:eastAsia="Poppins" w:hAnsi="Poppins"/>
                <w:color w:val="1A1A1A"/>
                <w:sz w:val="19"/>
                <w:szCs w:val="19"/>
              </w:rPr>
              <w:t xml:space="preserve">This document is a template to support creation of a context-specific AI policy. It does not constitute legal advice. Care has been taken to reflect the statutory and regulatory framework current at the time of writing, but guidance changes quickly, coverage cannot be guaranteed complete or current, and responsibility for compliance rests with the adopting organisation. The template must be completed, checked against your circumstances and the latest guidance, and formally ratified before use; where in doubt, take your own professional or legal advice. The author accepts no liability for any loss arising from use of, or reliance on, this template.</w:t>
            </w:r>
          </w:p>
          <w:p>
            <w:pPr>
              <w:spacing w:after="40" w:line="260"/>
            </w:pPr>
            <w:r>
              <w:rPr>
                <w:rFonts w:ascii="Poppins" w:cs="Poppins" w:eastAsia="Poppins" w:hAnsi="Poppins"/>
                <w:color w:val="1A1A1A"/>
                <w:sz w:val="19"/>
                <w:szCs w:val="19"/>
              </w:rPr>
              <w:t xml:space="preserve">© Mark Anderson 2026. Shared under CC BY-NC-SA 4.0; credit Mark Anderson, ICT Evangelist (ictevangelist.com), and license any adapted version you share under the same terms.</w:t>
            </w:r>
          </w:p>
        </w:tc>
      </w:tr>
    </w:tbl>
    <w:sectPr>
      <w:headerReference w:type="default" r:id="rId7"/>
      <w:footerReference w:type="default" r:id="rId8"/>
      <w:pgSz w:w="11906" w:h="16838" w:orient="portrait"/>
      <w:pgMar w:top="1250" w:right="1150" w:bottom="1250" w:left="115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DC3C7" w:sz="4" w:space="4"/>
      </w:pBdr>
      <w:tabs>
        <w:tab w:val="right" w:pos="9520"/>
      </w:tabs>
      <w:spacing w:before="0"/>
    </w:pPr>
    <w:r>
      <w:rPr>
        <w:rFonts w:ascii="Inter" w:cs="Inter" w:eastAsia="Inter" w:hAnsi="Inter"/>
        <w:color w:val="34495E"/>
        <w:sz w:val="16"/>
        <w:szCs w:val="16"/>
      </w:rPr>
      <w:t xml:space="preserve">© Mark Anderson 2026 · CC BY-NC-SA 4.0</w:t>
    </w:r>
    <w:r>
      <w:rPr>
        <w:rFonts w:ascii="Inter" w:cs="Inter" w:eastAsia="Inter" w:hAnsi="Inter"/>
        <w:sz w:val="16"/>
        <w:szCs w:val="16"/>
      </w:rPr>
      <w:t xml:space="preserve">	</w:t>
    </w:r>
    <w:r>
      <w:rPr>
        <w:rFonts w:ascii="Inter" w:cs="Inter" w:eastAsia="Inter" w:hAnsi="Inter"/>
        <w:color w:val="34495E"/>
        <w:sz w:val="16"/>
        <w:szCs w:val="16"/>
      </w:rPr>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DC3C7" w:sz="4" w:space="4"/>
      </w:pBdr>
      <w:tabs>
        <w:tab w:val="right" w:pos="9520"/>
      </w:tabs>
      <w:spacing w:after="0"/>
    </w:pPr>
    <w:r>
      <w:rPr>
        <w:rFonts w:ascii="Inter" w:cs="Inter" w:eastAsia="Inter" w:hAnsi="Inter"/>
        <w:b/>
        <w:bCs/>
        <w:color w:val="34495E"/>
        <w:sz w:val="16"/>
        <w:szCs w:val="16"/>
      </w:rPr>
      <w:t xml:space="preserve">Use of AI Policy: Template</w:t>
    </w:r>
    <w:r>
      <w:rPr>
        <w:rFonts w:ascii="Inter" w:cs="Inter" w:eastAsia="Inter" w:hAnsi="Inter"/>
        <w:color w:val="A04000"/>
        <w:sz w:val="16"/>
        <w:szCs w:val="16"/>
      </w:rPr>
      <w:t xml:space="preserve">	Complete for your context before 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rPr>
        <w:rFonts w:ascii="Poppins" w:cs="Poppins" w:eastAsia="Poppins" w:hAnsi="Poppins"/>
      </w:rPr>
    </w:lvl>
  </w:abstractNum>
  <w:abstractNum w:abstractNumId="3" w15:restartNumberingAfterBreak="0">
    <w:multiLevelType w:val="hybridMultilevel"/>
    <w:lvl w:ilvl="0" w15:tentative="1">
      <w:start w:val="1"/>
      <w:numFmt w:val="decimal"/>
      <w:lvlText w:val="%1."/>
      <w:lvlJc w:val="left"/>
      <w:pPr>
        <w:ind w:left="460" w:hanging="300"/>
      </w:pPr>
      <w:rPr>
        <w:rFonts w:ascii="Poppins" w:cs="Poppins" w:eastAsia="Poppins" w:hAnsi="Poppins"/>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oppins" w:cs="Poppins" w:eastAsia="Poppins" w:hAnsi="Poppins"/>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2026-07-18T09:50:45.283Z</dcterms:created>
  <dcterms:modified xsi:type="dcterms:W3CDTF">2026-07-18T09:50:45.283Z</dcterms:modified>
</cp:coreProperties>
</file>

<file path=docProps/custom.xml><?xml version="1.0" encoding="utf-8"?>
<Properties xmlns="http://schemas.openxmlformats.org/officeDocument/2006/custom-properties" xmlns:vt="http://schemas.openxmlformats.org/officeDocument/2006/docPropsVTypes"/>
</file>